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5DA37" w14:textId="77777777" w:rsidR="00834B4C" w:rsidRPr="00BB03F5" w:rsidRDefault="00834B4C" w:rsidP="00834B4C">
      <w:pPr>
        <w:pStyle w:val="Title"/>
      </w:pPr>
      <w:bookmarkStart w:id="0" w:name="Defining_problem_worksheet_sample"/>
      <w:r>
        <w:t>Defining the problem worksheet</w:t>
      </w:r>
      <w:bookmarkEnd w:id="0"/>
    </w:p>
    <w:p w14:paraId="50D153EF" w14:textId="25895918" w:rsidR="00834B4C" w:rsidRDefault="00834B4C" w:rsidP="00834B4C">
      <w:pPr>
        <w:pStyle w:val="Subtitle"/>
      </w:pPr>
      <w:r>
        <w:t>S</w:t>
      </w:r>
      <w:bookmarkStart w:id="1" w:name="_GoBack"/>
      <w:bookmarkEnd w:id="1"/>
      <w:r>
        <w:t>tep 2: Define the problem</w:t>
      </w:r>
      <w:r w:rsidR="004B7247">
        <w:t>.</w:t>
      </w:r>
    </w:p>
    <w:p w14:paraId="098DDD81" w14:textId="77777777" w:rsidR="00834B4C" w:rsidRPr="00477ECD" w:rsidRDefault="00834B4C" w:rsidP="00834B4C">
      <w:pPr>
        <w:pStyle w:val="Normalshort"/>
      </w:pPr>
      <w:bookmarkStart w:id="2" w:name="_hkijeo6v1jhd" w:colFirst="0" w:colLast="0"/>
      <w:bookmarkEnd w:id="2"/>
      <w:r w:rsidRPr="00477ECD">
        <w:t>Use this worksheet to create consensus about the problem you are solving and how you will weigh various program features. Individuals can complete this worksheet and a master version can be drafted by the team following a discussion of individual responses.</w:t>
      </w:r>
    </w:p>
    <w:p w14:paraId="22776400" w14:textId="77777777" w:rsidR="00834B4C" w:rsidRDefault="00834B4C" w:rsidP="00834B4C"/>
    <w:p w14:paraId="59440813" w14:textId="77777777" w:rsidR="00834B4C" w:rsidRDefault="00834B4C" w:rsidP="00834B4C">
      <w:pPr>
        <w:pStyle w:val="Heading3"/>
      </w:pPr>
      <w:bookmarkStart w:id="3" w:name="_2h3mdlnxnat4" w:colFirst="0" w:colLast="0"/>
      <w:bookmarkEnd w:id="3"/>
      <w:r>
        <w:t>Subject:</w:t>
      </w:r>
    </w:p>
    <w:tbl>
      <w:tblPr>
        <w:tblStyle w:val="ab"/>
        <w:tblW w:w="4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tblGrid>
      <w:tr w:rsidR="00834B4C" w14:paraId="0DFCCCCB" w14:textId="77777777" w:rsidTr="007C46FA">
        <w:tc>
          <w:tcPr>
            <w:tcW w:w="47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1F6A3F6" w14:textId="77777777" w:rsidR="00834B4C" w:rsidRDefault="00834B4C" w:rsidP="007C46FA">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49329B" w14:textId="77777777" w:rsidR="00834B4C" w:rsidRDefault="00834B4C" w:rsidP="00834B4C">
      <w:pPr>
        <w:pStyle w:val="Heading3"/>
      </w:pPr>
      <w:bookmarkStart w:id="4" w:name="_kfcqkzqfqhah" w:colFirst="0" w:colLast="0"/>
      <w:bookmarkEnd w:id="4"/>
      <w:r>
        <w:t>Grades:</w:t>
      </w:r>
    </w:p>
    <w:tbl>
      <w:tblPr>
        <w:tblStyle w:val="ac"/>
        <w:tblW w:w="4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tblGrid>
      <w:tr w:rsidR="00834B4C" w14:paraId="48F29034" w14:textId="77777777" w:rsidTr="007C46FA">
        <w:tc>
          <w:tcPr>
            <w:tcW w:w="47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1273A41" w14:textId="77777777" w:rsidR="00834B4C" w:rsidRDefault="00834B4C" w:rsidP="007C46FA">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92E466" w14:textId="77777777" w:rsidR="00834B4C" w:rsidRDefault="00834B4C" w:rsidP="00834B4C"/>
    <w:p w14:paraId="4A50D7CC" w14:textId="77777777" w:rsidR="00834B4C" w:rsidRDefault="00834B4C" w:rsidP="00834B4C"/>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765"/>
        <w:gridCol w:w="810"/>
        <w:gridCol w:w="4840"/>
      </w:tblGrid>
      <w:tr w:rsidR="00834B4C" w14:paraId="6826E085" w14:textId="77777777" w:rsidTr="007C46FA">
        <w:tc>
          <w:tcPr>
            <w:tcW w:w="4765" w:type="dxa"/>
            <w:tcBorders>
              <w:top w:val="nil"/>
              <w:left w:val="nil"/>
              <w:bottom w:val="single" w:sz="4" w:space="0" w:color="BFBFBF" w:themeColor="background1" w:themeShade="BF"/>
              <w:right w:val="nil"/>
            </w:tcBorders>
            <w:tcMar>
              <w:top w:w="0" w:type="dxa"/>
              <w:left w:w="0" w:type="dxa"/>
              <w:bottom w:w="0" w:type="dxa"/>
              <w:right w:w="0" w:type="dxa"/>
            </w:tcMar>
          </w:tcPr>
          <w:p w14:paraId="1A739689" w14:textId="77777777" w:rsidR="00834B4C" w:rsidRDefault="00834B4C" w:rsidP="007C46FA">
            <w:pPr>
              <w:pStyle w:val="Heading3"/>
              <w:spacing w:before="0"/>
              <w:outlineLvl w:val="2"/>
            </w:pPr>
            <w:r>
              <w:br/>
              <w:t>The key factor driving this curriculum adoption is:</w:t>
            </w:r>
          </w:p>
        </w:tc>
        <w:tc>
          <w:tcPr>
            <w:tcW w:w="810" w:type="dxa"/>
            <w:tcBorders>
              <w:top w:val="nil"/>
              <w:left w:val="nil"/>
              <w:bottom w:val="nil"/>
              <w:right w:val="nil"/>
            </w:tcBorders>
            <w:tcMar>
              <w:top w:w="0" w:type="dxa"/>
              <w:left w:w="0" w:type="dxa"/>
              <w:bottom w:w="0" w:type="dxa"/>
              <w:right w:w="0" w:type="dxa"/>
            </w:tcMar>
          </w:tcPr>
          <w:p w14:paraId="5F62CF0C" w14:textId="77777777" w:rsidR="00834B4C" w:rsidRDefault="00834B4C" w:rsidP="007C46FA"/>
        </w:tc>
        <w:tc>
          <w:tcPr>
            <w:tcW w:w="4840" w:type="dxa"/>
            <w:tcBorders>
              <w:top w:val="nil"/>
              <w:left w:val="nil"/>
              <w:bottom w:val="single" w:sz="4" w:space="0" w:color="BFBFBF" w:themeColor="background1" w:themeShade="BF"/>
              <w:right w:val="nil"/>
            </w:tcBorders>
            <w:tcMar>
              <w:top w:w="0" w:type="dxa"/>
              <w:left w:w="0" w:type="dxa"/>
              <w:bottom w:w="0" w:type="dxa"/>
              <w:right w:w="0" w:type="dxa"/>
            </w:tcMar>
          </w:tcPr>
          <w:p w14:paraId="6CADF1EC" w14:textId="77777777" w:rsidR="00834B4C" w:rsidRDefault="00834B4C" w:rsidP="007C46FA">
            <w:pPr>
              <w:pStyle w:val="Heading3"/>
              <w:spacing w:before="0"/>
              <w:outlineLvl w:val="2"/>
            </w:pPr>
            <w:r>
              <w:t xml:space="preserve">What </w:t>
            </w:r>
            <w:r w:rsidRPr="00293F60">
              <w:t>would</w:t>
            </w:r>
            <w:r>
              <w:t xml:space="preserve"> happen if the problem were not solved this year, both for teachers and students?</w:t>
            </w:r>
          </w:p>
        </w:tc>
      </w:tr>
      <w:tr w:rsidR="00834B4C" w14:paraId="2705E405" w14:textId="77777777" w:rsidTr="007C46FA">
        <w:tc>
          <w:tcPr>
            <w:tcW w:w="47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03CD6" w14:textId="77777777" w:rsidR="00834B4C" w:rsidRDefault="00834B4C" w:rsidP="007C46FA">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4" w:space="0" w:color="BFBFBF" w:themeColor="background1" w:themeShade="BF"/>
              <w:bottom w:val="nil"/>
              <w:right w:val="single" w:sz="4" w:space="0" w:color="BFBFBF" w:themeColor="background1" w:themeShade="BF"/>
            </w:tcBorders>
          </w:tcPr>
          <w:p w14:paraId="70AAB482" w14:textId="77777777" w:rsidR="00834B4C" w:rsidRDefault="00834B4C" w:rsidP="007C46FA"/>
          <w:p w14:paraId="5FDBC61A" w14:textId="77777777" w:rsidR="00834B4C" w:rsidRDefault="00834B4C" w:rsidP="007C46FA"/>
          <w:p w14:paraId="0D4BBC6C" w14:textId="77777777" w:rsidR="00834B4C" w:rsidRDefault="00834B4C" w:rsidP="007C46FA"/>
          <w:p w14:paraId="2D884112" w14:textId="77777777" w:rsidR="00834B4C" w:rsidRDefault="00834B4C" w:rsidP="007C46FA"/>
          <w:p w14:paraId="5F350E1A" w14:textId="77777777" w:rsidR="00834B4C" w:rsidRDefault="00834B4C" w:rsidP="007C46FA"/>
          <w:p w14:paraId="116AEEFD" w14:textId="77777777" w:rsidR="00834B4C" w:rsidRDefault="00834B4C" w:rsidP="007C46FA"/>
          <w:p w14:paraId="4E5F16D5" w14:textId="77777777" w:rsidR="00834B4C" w:rsidRDefault="00834B4C" w:rsidP="007C46FA"/>
          <w:p w14:paraId="30FBC8B0" w14:textId="77777777" w:rsidR="00834B4C" w:rsidRDefault="00834B4C" w:rsidP="007C46FA"/>
          <w:p w14:paraId="464EE393" w14:textId="77777777" w:rsidR="00834B4C" w:rsidRDefault="00834B4C" w:rsidP="007C46FA"/>
          <w:p w14:paraId="5B7D5DDC" w14:textId="77777777" w:rsidR="00834B4C" w:rsidRDefault="00834B4C" w:rsidP="007C46FA"/>
          <w:p w14:paraId="7386AA7E" w14:textId="77777777" w:rsidR="00834B4C" w:rsidRDefault="00834B4C" w:rsidP="007C46FA"/>
        </w:tc>
        <w:tc>
          <w:tcPr>
            <w:tcW w:w="4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7A15B" w14:textId="77777777" w:rsidR="00834B4C" w:rsidRDefault="00834B4C" w:rsidP="007C46FA">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4B4C" w14:paraId="140B35BA" w14:textId="77777777" w:rsidTr="007C46FA">
        <w:tc>
          <w:tcPr>
            <w:tcW w:w="4765" w:type="dxa"/>
            <w:tcBorders>
              <w:top w:val="single" w:sz="4" w:space="0" w:color="BFBFBF" w:themeColor="background1" w:themeShade="BF"/>
              <w:left w:val="nil"/>
              <w:bottom w:val="nil"/>
              <w:right w:val="nil"/>
            </w:tcBorders>
            <w:tcMar>
              <w:top w:w="115" w:type="dxa"/>
              <w:left w:w="0" w:type="dxa"/>
              <w:bottom w:w="0" w:type="dxa"/>
              <w:right w:w="0" w:type="dxa"/>
            </w:tcMar>
          </w:tcPr>
          <w:p w14:paraId="280963FE" w14:textId="77777777" w:rsidR="00834B4C" w:rsidRDefault="00834B4C" w:rsidP="007C46FA">
            <w:r>
              <w:t>Key factors are usually related to standards coverage or funding (e.g., “We’re due for a social studies adoption and have funding next year.”).</w:t>
            </w:r>
          </w:p>
        </w:tc>
        <w:tc>
          <w:tcPr>
            <w:tcW w:w="810" w:type="dxa"/>
            <w:tcBorders>
              <w:top w:val="nil"/>
              <w:left w:val="nil"/>
              <w:bottom w:val="nil"/>
              <w:right w:val="nil"/>
            </w:tcBorders>
            <w:tcMar>
              <w:top w:w="115" w:type="dxa"/>
              <w:left w:w="0" w:type="dxa"/>
              <w:bottom w:w="0" w:type="dxa"/>
              <w:right w:w="0" w:type="dxa"/>
            </w:tcMar>
          </w:tcPr>
          <w:p w14:paraId="0B4DC864" w14:textId="77777777" w:rsidR="00834B4C" w:rsidRDefault="00834B4C" w:rsidP="007C46FA"/>
        </w:tc>
        <w:tc>
          <w:tcPr>
            <w:tcW w:w="4840" w:type="dxa"/>
            <w:tcBorders>
              <w:top w:val="single" w:sz="4" w:space="0" w:color="BFBFBF" w:themeColor="background1" w:themeShade="BF"/>
              <w:left w:val="nil"/>
              <w:bottom w:val="nil"/>
              <w:right w:val="nil"/>
            </w:tcBorders>
            <w:tcMar>
              <w:top w:w="115" w:type="dxa"/>
              <w:left w:w="0" w:type="dxa"/>
              <w:bottom w:w="0" w:type="dxa"/>
              <w:right w:w="0" w:type="dxa"/>
            </w:tcMar>
          </w:tcPr>
          <w:p w14:paraId="420D51E2" w14:textId="77777777" w:rsidR="00834B4C" w:rsidRDefault="00834B4C" w:rsidP="007C46FA"/>
        </w:tc>
      </w:tr>
    </w:tbl>
    <w:p w14:paraId="0D18E642" w14:textId="77777777" w:rsidR="00834B4C" w:rsidRDefault="00834B4C" w:rsidP="00834B4C"/>
    <w:p w14:paraId="0F46229C" w14:textId="77777777" w:rsidR="00834B4C" w:rsidRDefault="00834B4C" w:rsidP="00834B4C">
      <w:pPr>
        <w:spacing w:line="276" w:lineRule="auto"/>
      </w:pPr>
      <w:r>
        <w:br w:type="page"/>
      </w:r>
    </w:p>
    <w:p w14:paraId="10AA69BB" w14:textId="77777777" w:rsidR="00834B4C" w:rsidRDefault="00834B4C" w:rsidP="00834B4C">
      <w:pPr>
        <w:pStyle w:val="Title"/>
      </w:pPr>
      <w:r>
        <w:lastRenderedPageBreak/>
        <w:t xml:space="preserve">Discussion guidelines </w:t>
      </w:r>
    </w:p>
    <w:p w14:paraId="74A6E11B" w14:textId="77777777" w:rsidR="00834B4C" w:rsidRDefault="00834B4C" w:rsidP="00834B4C">
      <w:pPr>
        <w:pStyle w:val="Subtitle"/>
      </w:pPr>
      <w:bookmarkStart w:id="5" w:name="_bzfxbr1kretr" w:colFirst="0" w:colLast="0"/>
      <w:bookmarkEnd w:id="5"/>
      <w:r>
        <w:t>Short guide step 2: Define the problem</w:t>
      </w:r>
    </w:p>
    <w:p w14:paraId="4116AF29" w14:textId="77777777" w:rsidR="00834B4C" w:rsidRDefault="00834B4C" w:rsidP="00834B4C">
      <w:pPr>
        <w:pStyle w:val="Normalshort"/>
      </w:pPr>
      <w:bookmarkStart w:id="6" w:name="_ozgpik21aj2t" w:colFirst="0" w:colLast="0"/>
      <w:bookmarkEnd w:id="6"/>
      <w:r>
        <w:t>After all team members have completed the worksheet, talk through the responses and compile a common language describing the problem you are solving.</w:t>
      </w:r>
    </w:p>
    <w:p w14:paraId="1E4A9688" w14:textId="77777777" w:rsidR="00834B4C" w:rsidRDefault="00834B4C" w:rsidP="00834B4C"/>
    <w:p w14:paraId="2E7DA2B1" w14:textId="77777777" w:rsidR="00834B4C" w:rsidRDefault="00834B4C" w:rsidP="00834B4C"/>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765"/>
        <w:gridCol w:w="810"/>
        <w:gridCol w:w="4840"/>
      </w:tblGrid>
      <w:tr w:rsidR="00834B4C" w14:paraId="0EC3AA24" w14:textId="77777777" w:rsidTr="007C46FA">
        <w:tc>
          <w:tcPr>
            <w:tcW w:w="4765" w:type="dxa"/>
            <w:tcBorders>
              <w:top w:val="nil"/>
              <w:left w:val="nil"/>
              <w:bottom w:val="single" w:sz="4" w:space="0" w:color="BFBFBF" w:themeColor="background1" w:themeShade="BF"/>
              <w:right w:val="nil"/>
            </w:tcBorders>
            <w:tcMar>
              <w:top w:w="0" w:type="dxa"/>
              <w:left w:w="0" w:type="dxa"/>
              <w:bottom w:w="0" w:type="dxa"/>
              <w:right w:w="0" w:type="dxa"/>
            </w:tcMar>
          </w:tcPr>
          <w:p w14:paraId="24D73E7D" w14:textId="77777777" w:rsidR="00834B4C" w:rsidRDefault="00834B4C" w:rsidP="007C46FA">
            <w:pPr>
              <w:pStyle w:val="Heading3"/>
              <w:spacing w:before="0"/>
              <w:outlineLvl w:val="2"/>
            </w:pPr>
            <w:r>
              <w:br/>
              <w:t>We agree the key factor driving this curriculum adoption is:</w:t>
            </w:r>
          </w:p>
        </w:tc>
        <w:tc>
          <w:tcPr>
            <w:tcW w:w="810" w:type="dxa"/>
            <w:tcBorders>
              <w:top w:val="nil"/>
              <w:left w:val="nil"/>
              <w:bottom w:val="nil"/>
              <w:right w:val="nil"/>
            </w:tcBorders>
            <w:tcMar>
              <w:top w:w="0" w:type="dxa"/>
              <w:left w:w="0" w:type="dxa"/>
              <w:bottom w:w="0" w:type="dxa"/>
              <w:right w:w="0" w:type="dxa"/>
            </w:tcMar>
          </w:tcPr>
          <w:p w14:paraId="7085013F" w14:textId="77777777" w:rsidR="00834B4C" w:rsidRDefault="00834B4C" w:rsidP="007C46FA"/>
        </w:tc>
        <w:tc>
          <w:tcPr>
            <w:tcW w:w="4840" w:type="dxa"/>
            <w:tcBorders>
              <w:top w:val="nil"/>
              <w:left w:val="nil"/>
              <w:bottom w:val="single" w:sz="4" w:space="0" w:color="BFBFBF" w:themeColor="background1" w:themeShade="BF"/>
              <w:right w:val="nil"/>
            </w:tcBorders>
            <w:tcMar>
              <w:top w:w="0" w:type="dxa"/>
              <w:left w:w="0" w:type="dxa"/>
              <w:bottom w:w="0" w:type="dxa"/>
              <w:right w:w="0" w:type="dxa"/>
            </w:tcMar>
          </w:tcPr>
          <w:p w14:paraId="398DC4CC" w14:textId="77777777" w:rsidR="00834B4C" w:rsidRDefault="00834B4C" w:rsidP="007C46FA">
            <w:pPr>
              <w:pStyle w:val="Heading3"/>
              <w:spacing w:before="0" w:after="86"/>
              <w:outlineLvl w:val="2"/>
            </w:pPr>
            <w:r>
              <w:t xml:space="preserve">It is imperative that we conduct a thorough review and </w:t>
            </w:r>
            <w:proofErr w:type="gramStart"/>
            <w:r>
              <w:t>make a selection</w:t>
            </w:r>
            <w:proofErr w:type="gramEnd"/>
            <w:r>
              <w:t xml:space="preserve"> this year because: </w:t>
            </w:r>
          </w:p>
        </w:tc>
      </w:tr>
      <w:tr w:rsidR="00834B4C" w14:paraId="543DC312" w14:textId="77777777" w:rsidTr="007C46FA">
        <w:tc>
          <w:tcPr>
            <w:tcW w:w="47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2ED5D" w14:textId="77777777" w:rsidR="00834B4C" w:rsidRDefault="00834B4C" w:rsidP="007C46FA">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4" w:space="0" w:color="BFBFBF" w:themeColor="background1" w:themeShade="BF"/>
              <w:bottom w:val="nil"/>
              <w:right w:val="single" w:sz="4" w:space="0" w:color="BFBFBF" w:themeColor="background1" w:themeShade="BF"/>
            </w:tcBorders>
          </w:tcPr>
          <w:p w14:paraId="0538CACD" w14:textId="77777777" w:rsidR="00834B4C" w:rsidRDefault="00834B4C" w:rsidP="007C46FA"/>
          <w:p w14:paraId="6EC8CEEC" w14:textId="77777777" w:rsidR="00834B4C" w:rsidRDefault="00834B4C" w:rsidP="007C46FA"/>
          <w:p w14:paraId="28B71345" w14:textId="77777777" w:rsidR="00834B4C" w:rsidRDefault="00834B4C" w:rsidP="007C46FA"/>
          <w:p w14:paraId="126B0853" w14:textId="77777777" w:rsidR="00834B4C" w:rsidRDefault="00834B4C" w:rsidP="007C46FA"/>
          <w:p w14:paraId="2F2B0BDB" w14:textId="77777777" w:rsidR="00834B4C" w:rsidRDefault="00834B4C" w:rsidP="007C46FA"/>
          <w:p w14:paraId="217290C6" w14:textId="77777777" w:rsidR="00834B4C" w:rsidRDefault="00834B4C" w:rsidP="007C46FA"/>
          <w:p w14:paraId="4328C8F5" w14:textId="77777777" w:rsidR="00834B4C" w:rsidRDefault="00834B4C" w:rsidP="007C46FA"/>
          <w:p w14:paraId="0EB22E5B" w14:textId="77777777" w:rsidR="00834B4C" w:rsidRDefault="00834B4C" w:rsidP="007C46FA"/>
          <w:p w14:paraId="64A91A3F" w14:textId="77777777" w:rsidR="00834B4C" w:rsidRDefault="00834B4C" w:rsidP="007C46FA"/>
          <w:p w14:paraId="4660BDC6" w14:textId="77777777" w:rsidR="00834B4C" w:rsidRDefault="00834B4C" w:rsidP="007C46FA"/>
          <w:p w14:paraId="085D3B6F" w14:textId="77777777" w:rsidR="00834B4C" w:rsidRDefault="00834B4C" w:rsidP="007C46FA"/>
          <w:p w14:paraId="7BBDD761" w14:textId="77777777" w:rsidR="00834B4C" w:rsidRDefault="00834B4C" w:rsidP="007C46FA"/>
          <w:p w14:paraId="3CFC9E12" w14:textId="77777777" w:rsidR="00834B4C" w:rsidRDefault="00834B4C" w:rsidP="007C46FA"/>
          <w:p w14:paraId="4248FFDE" w14:textId="77777777" w:rsidR="00834B4C" w:rsidRDefault="00834B4C" w:rsidP="007C46FA"/>
          <w:p w14:paraId="058CADA3" w14:textId="77777777" w:rsidR="00834B4C" w:rsidRDefault="00834B4C" w:rsidP="007C46FA"/>
          <w:p w14:paraId="00EDEC5C" w14:textId="77777777" w:rsidR="00834B4C" w:rsidRDefault="00834B4C" w:rsidP="007C46FA"/>
          <w:p w14:paraId="429123FE" w14:textId="77777777" w:rsidR="00834B4C" w:rsidRDefault="00834B4C" w:rsidP="007C46FA"/>
          <w:p w14:paraId="551EA54F" w14:textId="77777777" w:rsidR="00834B4C" w:rsidRDefault="00834B4C" w:rsidP="007C46FA"/>
          <w:p w14:paraId="13B8AB6F" w14:textId="77777777" w:rsidR="00834B4C" w:rsidRDefault="00834B4C" w:rsidP="007C46FA"/>
          <w:p w14:paraId="2E956BBC" w14:textId="77777777" w:rsidR="00834B4C" w:rsidRDefault="00834B4C" w:rsidP="007C46FA"/>
          <w:p w14:paraId="3552DDCB" w14:textId="77777777" w:rsidR="00834B4C" w:rsidRDefault="00834B4C" w:rsidP="007C46FA"/>
        </w:tc>
        <w:tc>
          <w:tcPr>
            <w:tcW w:w="4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138E0F" w14:textId="77777777" w:rsidR="00834B4C" w:rsidRDefault="00834B4C" w:rsidP="007C46FA">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0715969" w14:textId="77777777" w:rsidR="00834B4C" w:rsidRDefault="00834B4C" w:rsidP="00834B4C"/>
    <w:p w14:paraId="7780031B" w14:textId="77777777" w:rsidR="00834B4C" w:rsidRDefault="00834B4C" w:rsidP="00834B4C">
      <w:pPr>
        <w:pStyle w:val="Title"/>
        <w:rPr>
          <w:rFonts w:eastAsia="Open Sans" w:cs="Open Sans"/>
          <w:b w:val="0"/>
          <w:color w:val="434343"/>
          <w:sz w:val="20"/>
          <w:szCs w:val="20"/>
        </w:rPr>
      </w:pPr>
      <w:bookmarkStart w:id="7" w:name="_nqfezuav5mj" w:colFirst="0" w:colLast="0"/>
      <w:bookmarkEnd w:id="7"/>
      <w:r>
        <w:rPr>
          <w:rFonts w:eastAsia="Open Sans" w:cs="Open Sans"/>
          <w:b w:val="0"/>
          <w:color w:val="434343"/>
          <w:sz w:val="20"/>
          <w:szCs w:val="20"/>
        </w:rPr>
        <w:br w:type="page"/>
      </w:r>
    </w:p>
    <w:p w14:paraId="05042D94" w14:textId="77777777" w:rsidR="00834B4C" w:rsidRDefault="00834B4C" w:rsidP="00834B4C">
      <w:pPr>
        <w:pStyle w:val="Title"/>
      </w:pPr>
      <w:r>
        <w:lastRenderedPageBreak/>
        <w:t>Defining the problem worksheet [sample]</w:t>
      </w:r>
    </w:p>
    <w:p w14:paraId="0C554988" w14:textId="77777777" w:rsidR="00834B4C" w:rsidRDefault="00834B4C" w:rsidP="00834B4C">
      <w:pPr>
        <w:pStyle w:val="Subtitle"/>
      </w:pPr>
      <w:bookmarkStart w:id="8" w:name="_e0g7xyih2e5w" w:colFirst="0" w:colLast="0"/>
      <w:bookmarkEnd w:id="8"/>
      <w:r>
        <w:t>Short guide step 2: Define the problem</w:t>
      </w:r>
    </w:p>
    <w:p w14:paraId="3EF293D0" w14:textId="77777777" w:rsidR="00834B4C" w:rsidRDefault="00834B4C" w:rsidP="00834B4C">
      <w:pPr>
        <w:pStyle w:val="Normalshort"/>
      </w:pPr>
      <w:bookmarkStart w:id="9" w:name="_os1hpzrwrqkr" w:colFirst="0" w:colLast="0"/>
      <w:bookmarkEnd w:id="9"/>
      <w:r>
        <w:t>Use this worksheet to create consensus about the problem you are solving and how you will weigh various solution features. Individuals can fill out this worksheet and a master version can be drafted by the team following a discussion of individual responses.</w:t>
      </w:r>
    </w:p>
    <w:p w14:paraId="7B1D6F3F" w14:textId="77777777" w:rsidR="00834B4C" w:rsidRDefault="00834B4C" w:rsidP="00834B4C"/>
    <w:p w14:paraId="3341B82D" w14:textId="77777777" w:rsidR="00834B4C" w:rsidRDefault="00834B4C" w:rsidP="00834B4C">
      <w:pPr>
        <w:pStyle w:val="Heading3"/>
      </w:pPr>
      <w:bookmarkStart w:id="10" w:name="_ao76yqoewzam" w:colFirst="0" w:colLast="0"/>
      <w:bookmarkEnd w:id="10"/>
      <w:r>
        <w:t>Subject:</w:t>
      </w:r>
    </w:p>
    <w:tbl>
      <w:tblPr>
        <w:tblStyle w:val="af1"/>
        <w:tblW w:w="4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tblGrid>
      <w:tr w:rsidR="00834B4C" w14:paraId="64A9B951" w14:textId="77777777" w:rsidTr="007C46FA">
        <w:tc>
          <w:tcPr>
            <w:tcW w:w="47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B436C96" w14:textId="77777777" w:rsidR="00834B4C" w:rsidRDefault="00834B4C" w:rsidP="007C46FA">
            <w:pPr>
              <w:spacing w:line="240" w:lineRule="auto"/>
              <w:rPr>
                <w:color w:val="CC0000"/>
                <w:sz w:val="24"/>
                <w:szCs w:val="24"/>
              </w:rPr>
            </w:pPr>
            <w:r>
              <w:rPr>
                <w:color w:val="CC0000"/>
                <w:sz w:val="22"/>
                <w:szCs w:val="22"/>
              </w:rPr>
              <w:t>Science</w:t>
            </w:r>
          </w:p>
        </w:tc>
      </w:tr>
    </w:tbl>
    <w:p w14:paraId="5E3737F5" w14:textId="77777777" w:rsidR="00834B4C" w:rsidRDefault="00834B4C" w:rsidP="00834B4C">
      <w:pPr>
        <w:pStyle w:val="Heading3"/>
      </w:pPr>
      <w:bookmarkStart w:id="11" w:name="_gxudbuykvtho" w:colFirst="0" w:colLast="0"/>
      <w:bookmarkEnd w:id="11"/>
      <w:r>
        <w:t>Grades:</w:t>
      </w:r>
    </w:p>
    <w:tbl>
      <w:tblPr>
        <w:tblStyle w:val="af2"/>
        <w:tblW w:w="4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tblGrid>
      <w:tr w:rsidR="00834B4C" w14:paraId="20EAA7F5" w14:textId="77777777" w:rsidTr="007C46FA">
        <w:tc>
          <w:tcPr>
            <w:tcW w:w="471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76AA28D" w14:textId="77777777" w:rsidR="00834B4C" w:rsidRDefault="00834B4C" w:rsidP="007C46FA">
            <w:pPr>
              <w:spacing w:line="240" w:lineRule="auto"/>
              <w:rPr>
                <w:color w:val="CC0000"/>
                <w:sz w:val="24"/>
                <w:szCs w:val="24"/>
              </w:rPr>
            </w:pPr>
            <w:r>
              <w:rPr>
                <w:color w:val="CC0000"/>
                <w:sz w:val="22"/>
                <w:szCs w:val="22"/>
              </w:rPr>
              <w:t>6–8</w:t>
            </w:r>
          </w:p>
        </w:tc>
      </w:tr>
    </w:tbl>
    <w:p w14:paraId="653A2656" w14:textId="77777777" w:rsidR="00834B4C" w:rsidRDefault="00834B4C" w:rsidP="00834B4C"/>
    <w:p w14:paraId="02DDA443" w14:textId="77777777" w:rsidR="00834B4C" w:rsidRDefault="00834B4C" w:rsidP="00834B4C"/>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765"/>
        <w:gridCol w:w="810"/>
        <w:gridCol w:w="4840"/>
      </w:tblGrid>
      <w:tr w:rsidR="00834B4C" w14:paraId="35D51626" w14:textId="77777777" w:rsidTr="007C46FA">
        <w:tc>
          <w:tcPr>
            <w:tcW w:w="4765" w:type="dxa"/>
            <w:tcBorders>
              <w:top w:val="nil"/>
              <w:left w:val="nil"/>
              <w:bottom w:val="single" w:sz="4" w:space="0" w:color="BFBFBF" w:themeColor="background1" w:themeShade="BF"/>
              <w:right w:val="nil"/>
            </w:tcBorders>
            <w:tcMar>
              <w:top w:w="0" w:type="dxa"/>
              <w:left w:w="0" w:type="dxa"/>
              <w:bottom w:w="0" w:type="dxa"/>
              <w:right w:w="0" w:type="dxa"/>
            </w:tcMar>
          </w:tcPr>
          <w:p w14:paraId="0BF34ADA" w14:textId="77777777" w:rsidR="00834B4C" w:rsidRDefault="00834B4C" w:rsidP="007C46FA">
            <w:pPr>
              <w:pStyle w:val="Heading3"/>
              <w:spacing w:before="0"/>
              <w:outlineLvl w:val="2"/>
            </w:pPr>
            <w:r>
              <w:br/>
              <w:t>The key factor driving this curriculum adoption is:</w:t>
            </w:r>
          </w:p>
        </w:tc>
        <w:tc>
          <w:tcPr>
            <w:tcW w:w="810" w:type="dxa"/>
            <w:tcBorders>
              <w:top w:val="nil"/>
              <w:left w:val="nil"/>
              <w:bottom w:val="nil"/>
              <w:right w:val="nil"/>
            </w:tcBorders>
            <w:tcMar>
              <w:top w:w="0" w:type="dxa"/>
              <w:left w:w="0" w:type="dxa"/>
              <w:bottom w:w="0" w:type="dxa"/>
              <w:right w:w="0" w:type="dxa"/>
            </w:tcMar>
          </w:tcPr>
          <w:p w14:paraId="0F8B3CA1" w14:textId="77777777" w:rsidR="00834B4C" w:rsidRDefault="00834B4C" w:rsidP="007C46FA"/>
        </w:tc>
        <w:tc>
          <w:tcPr>
            <w:tcW w:w="4840" w:type="dxa"/>
            <w:tcBorders>
              <w:top w:val="nil"/>
              <w:left w:val="nil"/>
              <w:bottom w:val="single" w:sz="4" w:space="0" w:color="BFBFBF" w:themeColor="background1" w:themeShade="BF"/>
              <w:right w:val="nil"/>
            </w:tcBorders>
            <w:tcMar>
              <w:top w:w="0" w:type="dxa"/>
              <w:left w:w="0" w:type="dxa"/>
              <w:bottom w:w="0" w:type="dxa"/>
              <w:right w:w="0" w:type="dxa"/>
            </w:tcMar>
          </w:tcPr>
          <w:p w14:paraId="6BA1B622" w14:textId="77777777" w:rsidR="00834B4C" w:rsidRDefault="00834B4C" w:rsidP="007C46FA">
            <w:pPr>
              <w:pStyle w:val="Heading3"/>
              <w:spacing w:before="0"/>
              <w:outlineLvl w:val="2"/>
            </w:pPr>
            <w:r>
              <w:t xml:space="preserve">What </w:t>
            </w:r>
            <w:r w:rsidRPr="00293F60">
              <w:t>would</w:t>
            </w:r>
            <w:r>
              <w:t xml:space="preserve"> happen if the problem were not solved this year, both for teachers and students?</w:t>
            </w:r>
          </w:p>
        </w:tc>
      </w:tr>
      <w:tr w:rsidR="00834B4C" w14:paraId="57272218" w14:textId="77777777" w:rsidTr="007C46FA">
        <w:tc>
          <w:tcPr>
            <w:tcW w:w="47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F7F4E" w14:textId="77777777" w:rsidR="00834B4C" w:rsidRPr="00FB49C7" w:rsidRDefault="00834B4C" w:rsidP="007C46FA">
            <w:pPr>
              <w:spacing w:line="240" w:lineRule="auto"/>
              <w:rPr>
                <w:color w:val="CC0000"/>
                <w:sz w:val="22"/>
                <w:szCs w:val="22"/>
              </w:rPr>
            </w:pPr>
            <w:r>
              <w:rPr>
                <w:color w:val="CC0000"/>
                <w:sz w:val="22"/>
                <w:szCs w:val="22"/>
              </w:rPr>
              <w:t xml:space="preserve">The rollout of the NGSS necessitates the adoption of new materials and professional learning. If </w:t>
            </w:r>
            <w:r w:rsidRPr="00004150">
              <w:rPr>
                <w:color w:val="CC0000"/>
                <w:sz w:val="22"/>
                <w:szCs w:val="22"/>
              </w:rPr>
              <w:t>our teachers and students are going to meet higher standards</w:t>
            </w:r>
            <w:r>
              <w:rPr>
                <w:color w:val="CC0000"/>
                <w:sz w:val="22"/>
                <w:szCs w:val="22"/>
              </w:rPr>
              <w:t>, we must implement new materials starting in the fall of 2020.</w:t>
            </w:r>
          </w:p>
        </w:tc>
        <w:tc>
          <w:tcPr>
            <w:tcW w:w="810" w:type="dxa"/>
            <w:tcBorders>
              <w:top w:val="nil"/>
              <w:left w:val="single" w:sz="4" w:space="0" w:color="BFBFBF" w:themeColor="background1" w:themeShade="BF"/>
              <w:bottom w:val="nil"/>
              <w:right w:val="single" w:sz="4" w:space="0" w:color="BFBFBF" w:themeColor="background1" w:themeShade="BF"/>
            </w:tcBorders>
          </w:tcPr>
          <w:p w14:paraId="2F83A276" w14:textId="77777777" w:rsidR="00834B4C" w:rsidRDefault="00834B4C" w:rsidP="007C46FA"/>
          <w:p w14:paraId="67FC5B83" w14:textId="77777777" w:rsidR="00834B4C" w:rsidRDefault="00834B4C" w:rsidP="007C46FA"/>
          <w:p w14:paraId="574F97D7" w14:textId="77777777" w:rsidR="00834B4C" w:rsidRDefault="00834B4C" w:rsidP="007C46FA"/>
          <w:p w14:paraId="2380F87C" w14:textId="77777777" w:rsidR="00834B4C" w:rsidRDefault="00834B4C" w:rsidP="007C46FA"/>
          <w:p w14:paraId="25C97DAC" w14:textId="77777777" w:rsidR="00834B4C" w:rsidRDefault="00834B4C" w:rsidP="007C46FA"/>
          <w:p w14:paraId="3DE6F40B" w14:textId="77777777" w:rsidR="00834B4C" w:rsidRDefault="00834B4C" w:rsidP="007C46FA"/>
          <w:p w14:paraId="602D2B8D" w14:textId="77777777" w:rsidR="00834B4C" w:rsidRDefault="00834B4C" w:rsidP="007C46FA"/>
          <w:p w14:paraId="3FECAD18" w14:textId="77777777" w:rsidR="00834B4C" w:rsidRDefault="00834B4C" w:rsidP="007C46FA"/>
          <w:p w14:paraId="75B948A2" w14:textId="77777777" w:rsidR="00834B4C" w:rsidRDefault="00834B4C" w:rsidP="007C46FA"/>
          <w:p w14:paraId="602463AA" w14:textId="77777777" w:rsidR="00834B4C" w:rsidRDefault="00834B4C" w:rsidP="007C46FA"/>
          <w:p w14:paraId="6F10517D" w14:textId="77777777" w:rsidR="00834B4C" w:rsidRDefault="00834B4C" w:rsidP="007C46FA"/>
        </w:tc>
        <w:tc>
          <w:tcPr>
            <w:tcW w:w="48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155B" w14:textId="77777777" w:rsidR="00834B4C" w:rsidRPr="00FB49C7" w:rsidRDefault="00834B4C" w:rsidP="007C46FA">
            <w:pPr>
              <w:spacing w:line="240" w:lineRule="auto"/>
              <w:rPr>
                <w:color w:val="CC0000"/>
                <w:sz w:val="22"/>
                <w:szCs w:val="22"/>
              </w:rPr>
            </w:pPr>
            <w:r>
              <w:rPr>
                <w:color w:val="CC0000"/>
                <w:sz w:val="22"/>
                <w:szCs w:val="22"/>
              </w:rPr>
              <w:t>If we do not adopt new materials and offer more professional learning, our teachers will spend an estimated 6–7 hours each week researching free resources. There will be no consistency from classroom to classroom and students will likely not excel on high-stakes assessments.</w:t>
            </w:r>
          </w:p>
        </w:tc>
      </w:tr>
      <w:tr w:rsidR="00834B4C" w14:paraId="373A5E23" w14:textId="77777777" w:rsidTr="007C46FA">
        <w:tc>
          <w:tcPr>
            <w:tcW w:w="4765" w:type="dxa"/>
            <w:tcBorders>
              <w:top w:val="single" w:sz="4" w:space="0" w:color="BFBFBF" w:themeColor="background1" w:themeShade="BF"/>
              <w:left w:val="nil"/>
              <w:bottom w:val="nil"/>
              <w:right w:val="nil"/>
            </w:tcBorders>
            <w:tcMar>
              <w:top w:w="115" w:type="dxa"/>
              <w:left w:w="0" w:type="dxa"/>
              <w:bottom w:w="0" w:type="dxa"/>
              <w:right w:w="0" w:type="dxa"/>
            </w:tcMar>
          </w:tcPr>
          <w:p w14:paraId="1353CAFD" w14:textId="77777777" w:rsidR="00834B4C" w:rsidRDefault="00834B4C" w:rsidP="007C46FA">
            <w:r>
              <w:t>Key factors are usually related to standards coverage or funding (e.g., “We’re due for a social studies adoption and have funding next year.”).</w:t>
            </w:r>
          </w:p>
        </w:tc>
        <w:tc>
          <w:tcPr>
            <w:tcW w:w="810" w:type="dxa"/>
            <w:tcBorders>
              <w:top w:val="nil"/>
              <w:left w:val="nil"/>
              <w:bottom w:val="nil"/>
              <w:right w:val="nil"/>
            </w:tcBorders>
            <w:tcMar>
              <w:top w:w="115" w:type="dxa"/>
              <w:left w:w="0" w:type="dxa"/>
              <w:bottom w:w="0" w:type="dxa"/>
              <w:right w:w="0" w:type="dxa"/>
            </w:tcMar>
          </w:tcPr>
          <w:p w14:paraId="109EFE57" w14:textId="77777777" w:rsidR="00834B4C" w:rsidRDefault="00834B4C" w:rsidP="007C46FA"/>
        </w:tc>
        <w:tc>
          <w:tcPr>
            <w:tcW w:w="4840" w:type="dxa"/>
            <w:tcBorders>
              <w:top w:val="single" w:sz="4" w:space="0" w:color="BFBFBF" w:themeColor="background1" w:themeShade="BF"/>
              <w:left w:val="nil"/>
              <w:bottom w:val="nil"/>
              <w:right w:val="nil"/>
            </w:tcBorders>
            <w:tcMar>
              <w:top w:w="115" w:type="dxa"/>
              <w:left w:w="0" w:type="dxa"/>
              <w:bottom w:w="0" w:type="dxa"/>
              <w:right w:w="0" w:type="dxa"/>
            </w:tcMar>
          </w:tcPr>
          <w:p w14:paraId="3E900C73" w14:textId="77777777" w:rsidR="00834B4C" w:rsidRDefault="00834B4C" w:rsidP="007C46FA"/>
        </w:tc>
      </w:tr>
    </w:tbl>
    <w:p w14:paraId="553A2DB2" w14:textId="77777777" w:rsidR="00834B4C" w:rsidRDefault="00834B4C" w:rsidP="00834B4C"/>
    <w:p w14:paraId="5E2337AA" w14:textId="612E8096" w:rsidR="009619B8" w:rsidRPr="00EA31EA" w:rsidRDefault="009619B8" w:rsidP="00834B4C"/>
    <w:sectPr w:rsidR="009619B8" w:rsidRPr="00EA31EA" w:rsidSect="000515CC">
      <w:headerReference w:type="default" r:id="rId8"/>
      <w:footerReference w:type="default" r:id="rId9"/>
      <w:type w:val="continuous"/>
      <w:pgSz w:w="12240" w:h="15840"/>
      <w:pgMar w:top="1354" w:right="907" w:bottom="1267" w:left="907" w:header="806" w:footer="8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78BB" w14:textId="77777777" w:rsidR="002D1A5F" w:rsidRDefault="002D1A5F">
      <w:pPr>
        <w:spacing w:line="240" w:lineRule="auto"/>
      </w:pPr>
      <w:r>
        <w:separator/>
      </w:r>
    </w:p>
  </w:endnote>
  <w:endnote w:type="continuationSeparator" w:id="0">
    <w:p w14:paraId="223B3604" w14:textId="77777777" w:rsidR="002D1A5F" w:rsidRDefault="002D1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SemiBold">
    <w:altName w:val="SignPainter HouseScript"/>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4455" w14:textId="10C51A73" w:rsidR="000515CC" w:rsidRPr="000515CC" w:rsidRDefault="000515CC" w:rsidP="000515CC">
    <w:pPr>
      <w:tabs>
        <w:tab w:val="right" w:pos="10440"/>
      </w:tabs>
      <w:ind w:right="-14"/>
      <w:rPr>
        <w:rFonts w:cs="Arial"/>
      </w:rPr>
    </w:pPr>
    <w:r w:rsidRPr="00B47D79">
      <w:rPr>
        <w:rFonts w:cs="Arial"/>
        <w:sz w:val="16"/>
        <w:szCs w:val="16"/>
      </w:rPr>
      <w:t xml:space="preserve">For the full guide, see </w:t>
    </w:r>
    <w:hyperlink r:id="rId1">
      <w:r w:rsidR="0038398B">
        <w:rPr>
          <w:rFonts w:eastAsia="Open Sans SemiBold" w:cs="Arial"/>
          <w:b/>
          <w:color w:val="F37321"/>
          <w:sz w:val="16"/>
          <w:szCs w:val="16"/>
        </w:rPr>
        <w:t>amplify.com/</w:t>
      </w:r>
      <w:proofErr w:type="spellStart"/>
      <w:r w:rsidR="0038398B">
        <w:rPr>
          <w:rFonts w:eastAsia="Open Sans SemiBold" w:cs="Arial"/>
          <w:b/>
          <w:color w:val="F37321"/>
          <w:sz w:val="16"/>
          <w:szCs w:val="16"/>
        </w:rPr>
        <w:t>adoptionguide</w:t>
      </w:r>
      <w:proofErr w:type="spellEnd"/>
    </w:hyperlink>
    <w:r w:rsidRPr="00B47D79">
      <w:rPr>
        <w:rFonts w:cs="Arial"/>
        <w:sz w:val="16"/>
        <w:szCs w:val="16"/>
      </w:rPr>
      <w:t>.</w:t>
    </w:r>
    <w:r w:rsidRPr="00B47D79">
      <w:rPr>
        <w:rFonts w:cs="Arial"/>
        <w:sz w:val="16"/>
        <w:szCs w:val="16"/>
      </w:rPr>
      <w:tab/>
      <w:t xml:space="preserve"> </w:t>
    </w:r>
    <w:r w:rsidRPr="00B47D79">
      <w:rPr>
        <w:rFonts w:cs="Arial"/>
        <w:sz w:val="16"/>
        <w:szCs w:val="16"/>
      </w:rPr>
      <w:fldChar w:fldCharType="begin"/>
    </w:r>
    <w:r w:rsidRPr="00B47D79">
      <w:rPr>
        <w:rFonts w:cs="Arial"/>
        <w:sz w:val="16"/>
        <w:szCs w:val="16"/>
      </w:rPr>
      <w:instrText>PAGE</w:instrText>
    </w:r>
    <w:r w:rsidRPr="00B47D79">
      <w:rPr>
        <w:rFonts w:cs="Arial"/>
        <w:sz w:val="16"/>
        <w:szCs w:val="16"/>
      </w:rPr>
      <w:fldChar w:fldCharType="separate"/>
    </w:r>
    <w:r>
      <w:rPr>
        <w:rFonts w:cs="Arial"/>
        <w:sz w:val="16"/>
        <w:szCs w:val="16"/>
      </w:rPr>
      <w:t>3</w:t>
    </w:r>
    <w:r w:rsidRPr="00B47D79">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0E924" w14:textId="77777777" w:rsidR="002D1A5F" w:rsidRDefault="002D1A5F">
      <w:pPr>
        <w:spacing w:line="240" w:lineRule="auto"/>
      </w:pPr>
      <w:r>
        <w:separator/>
      </w:r>
    </w:p>
  </w:footnote>
  <w:footnote w:type="continuationSeparator" w:id="0">
    <w:p w14:paraId="1B0A1257" w14:textId="77777777" w:rsidR="002D1A5F" w:rsidRDefault="002D1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450"/>
      <w:gridCol w:w="326"/>
      <w:gridCol w:w="327"/>
      <w:gridCol w:w="327"/>
      <w:gridCol w:w="327"/>
      <w:gridCol w:w="327"/>
      <w:gridCol w:w="327"/>
    </w:tblGrid>
    <w:tr w:rsidR="00AC26DD" w:rsidRPr="001C4A95" w14:paraId="3F25FDF6" w14:textId="77777777" w:rsidTr="0054266F">
      <w:trPr>
        <w:jc w:val="center"/>
      </w:trPr>
      <w:tc>
        <w:tcPr>
          <w:tcW w:w="8010" w:type="dxa"/>
          <w:noWrap/>
          <w:tcMar>
            <w:top w:w="29" w:type="dxa"/>
            <w:left w:w="0" w:type="dxa"/>
            <w:bottom w:w="29" w:type="dxa"/>
            <w:right w:w="0" w:type="dxa"/>
          </w:tcMar>
          <w:vAlign w:val="center"/>
        </w:tcPr>
        <w:p w14:paraId="69D9D96D" w14:textId="77777777" w:rsidR="00AC26DD" w:rsidRPr="001C4A95" w:rsidRDefault="00AC26DD" w:rsidP="00AC26DD">
          <w:pPr>
            <w:ind w:right="-180"/>
            <w:jc w:val="center"/>
            <w:rPr>
              <w:rFonts w:eastAsia="Open Sans SemiBold" w:cs="Arial"/>
              <w:b/>
              <w:color w:val="F37321"/>
              <w:sz w:val="16"/>
              <w:szCs w:val="18"/>
            </w:rPr>
          </w:pPr>
        </w:p>
      </w:tc>
      <w:tc>
        <w:tcPr>
          <w:tcW w:w="450" w:type="dxa"/>
          <w:noWrap/>
          <w:tcMar>
            <w:top w:w="29" w:type="dxa"/>
            <w:left w:w="0" w:type="dxa"/>
            <w:bottom w:w="29" w:type="dxa"/>
            <w:right w:w="0" w:type="dxa"/>
          </w:tcMar>
          <w:vAlign w:val="center"/>
        </w:tcPr>
        <w:p w14:paraId="65772B53" w14:textId="4E884598" w:rsidR="00AC26DD" w:rsidRPr="00717CD5" w:rsidRDefault="0054266F" w:rsidP="00AC26DD">
          <w:pPr>
            <w:ind w:right="-180"/>
            <w:rPr>
              <w:rFonts w:eastAsia="Open Sans SemiBold" w:cs="Arial"/>
              <w:color w:val="F37321"/>
              <w:sz w:val="16"/>
              <w:szCs w:val="18"/>
            </w:rPr>
          </w:pPr>
          <w:r>
            <w:rPr>
              <w:rFonts w:eastAsia="Open Sans SemiBold" w:cs="Arial"/>
              <w:color w:val="F37321"/>
              <w:sz w:val="16"/>
              <w:szCs w:val="18"/>
            </w:rPr>
            <w:t>S</w:t>
          </w:r>
          <w:r w:rsidR="00AC26DD" w:rsidRPr="00717CD5">
            <w:rPr>
              <w:rFonts w:eastAsia="Open Sans SemiBold" w:cs="Arial"/>
              <w:color w:val="F37321"/>
              <w:sz w:val="16"/>
              <w:szCs w:val="18"/>
            </w:rPr>
            <w:t>tep</w:t>
          </w:r>
        </w:p>
      </w:tc>
      <w:tc>
        <w:tcPr>
          <w:tcW w:w="326" w:type="dxa"/>
          <w:shd w:val="clear" w:color="auto" w:fill="auto"/>
          <w:noWrap/>
          <w:tcMar>
            <w:top w:w="29" w:type="dxa"/>
            <w:left w:w="115" w:type="dxa"/>
            <w:bottom w:w="29" w:type="dxa"/>
            <w:right w:w="115" w:type="dxa"/>
          </w:tcMar>
          <w:tcFitText/>
          <w:vAlign w:val="center"/>
        </w:tcPr>
        <w:p w14:paraId="27C5EB3E" w14:textId="77777777" w:rsidR="00AC26DD" w:rsidRPr="007269B0" w:rsidRDefault="00AC26DD" w:rsidP="00AC26DD">
          <w:pPr>
            <w:tabs>
              <w:tab w:val="center" w:pos="829"/>
              <w:tab w:val="right" w:pos="1658"/>
            </w:tabs>
            <w:ind w:right="-180"/>
            <w:rPr>
              <w:rFonts w:eastAsia="Open Sans SemiBold" w:cs="Arial"/>
              <w:b/>
              <w:color w:val="F37321"/>
              <w:sz w:val="16"/>
              <w:szCs w:val="18"/>
            </w:rPr>
          </w:pPr>
          <w:r w:rsidRPr="0054266F">
            <w:rPr>
              <w:rFonts w:eastAsia="Open Sans SemiBold" w:cs="Arial"/>
              <w:b/>
              <w:color w:val="F37321"/>
              <w:sz w:val="16"/>
              <w:szCs w:val="18"/>
            </w:rPr>
            <w:t>1</w:t>
          </w:r>
        </w:p>
      </w:tc>
      <w:tc>
        <w:tcPr>
          <w:tcW w:w="327" w:type="dxa"/>
          <w:shd w:val="clear" w:color="auto" w:fill="F37321"/>
          <w:noWrap/>
          <w:tcMar>
            <w:top w:w="29" w:type="dxa"/>
            <w:left w:w="115" w:type="dxa"/>
            <w:bottom w:w="29" w:type="dxa"/>
            <w:right w:w="115" w:type="dxa"/>
          </w:tcMar>
          <w:tcFitText/>
          <w:vAlign w:val="center"/>
        </w:tcPr>
        <w:p w14:paraId="6EDE6610" w14:textId="77777777" w:rsidR="00AC26DD" w:rsidRPr="007269B0" w:rsidRDefault="00AC26DD" w:rsidP="00AC26DD">
          <w:pPr>
            <w:tabs>
              <w:tab w:val="center" w:pos="829"/>
              <w:tab w:val="right" w:pos="1658"/>
            </w:tabs>
            <w:ind w:right="-180"/>
            <w:rPr>
              <w:rFonts w:eastAsia="Open Sans SemiBold" w:cs="Arial"/>
              <w:b/>
              <w:color w:val="FFFFFF" w:themeColor="background1"/>
              <w:sz w:val="16"/>
              <w:szCs w:val="18"/>
            </w:rPr>
          </w:pPr>
          <w:r w:rsidRPr="0054266F">
            <w:rPr>
              <w:rFonts w:eastAsia="Open Sans SemiBold" w:cs="Arial"/>
              <w:b/>
              <w:color w:val="FFFFFF" w:themeColor="background1"/>
              <w:sz w:val="16"/>
              <w:szCs w:val="18"/>
            </w:rPr>
            <w:t>2</w:t>
          </w:r>
        </w:p>
      </w:tc>
      <w:tc>
        <w:tcPr>
          <w:tcW w:w="327" w:type="dxa"/>
          <w:shd w:val="clear" w:color="auto" w:fill="auto"/>
          <w:noWrap/>
          <w:tcMar>
            <w:top w:w="29" w:type="dxa"/>
            <w:left w:w="115" w:type="dxa"/>
            <w:bottom w:w="29" w:type="dxa"/>
            <w:right w:w="115" w:type="dxa"/>
          </w:tcMar>
          <w:tcFitText/>
          <w:vAlign w:val="center"/>
        </w:tcPr>
        <w:p w14:paraId="64FE6B06" w14:textId="77777777" w:rsidR="00AC26DD" w:rsidRPr="006037DF" w:rsidRDefault="00AC26DD" w:rsidP="00AC26DD">
          <w:pPr>
            <w:ind w:right="-180"/>
            <w:rPr>
              <w:rFonts w:eastAsia="Open Sans SemiBold" w:cs="Arial"/>
              <w:b/>
              <w:color w:val="F37321"/>
              <w:sz w:val="16"/>
              <w:szCs w:val="18"/>
            </w:rPr>
          </w:pPr>
          <w:r w:rsidRPr="0054266F">
            <w:rPr>
              <w:rFonts w:eastAsia="Open Sans SemiBold" w:cs="Arial"/>
              <w:b/>
              <w:color w:val="F37321"/>
              <w:sz w:val="16"/>
              <w:szCs w:val="18"/>
            </w:rPr>
            <w:t>3</w:t>
          </w:r>
        </w:p>
      </w:tc>
      <w:tc>
        <w:tcPr>
          <w:tcW w:w="327" w:type="dxa"/>
          <w:shd w:val="clear" w:color="auto" w:fill="auto"/>
          <w:noWrap/>
          <w:tcMar>
            <w:top w:w="29" w:type="dxa"/>
            <w:left w:w="115" w:type="dxa"/>
            <w:bottom w:w="29" w:type="dxa"/>
            <w:right w:w="115" w:type="dxa"/>
          </w:tcMar>
          <w:tcFitText/>
          <w:vAlign w:val="center"/>
        </w:tcPr>
        <w:p w14:paraId="0F5C9EB9" w14:textId="77777777" w:rsidR="00AC26DD" w:rsidRPr="007269B0" w:rsidRDefault="00AC26DD" w:rsidP="00AC26DD">
          <w:pPr>
            <w:ind w:right="-180"/>
            <w:rPr>
              <w:rFonts w:eastAsia="Open Sans SemiBold" w:cs="Arial"/>
              <w:b/>
              <w:color w:val="F37321"/>
              <w:sz w:val="16"/>
              <w:szCs w:val="18"/>
            </w:rPr>
          </w:pPr>
          <w:r w:rsidRPr="0054266F">
            <w:rPr>
              <w:rFonts w:eastAsia="Open Sans SemiBold" w:cs="Arial"/>
              <w:b/>
              <w:color w:val="F37321"/>
              <w:sz w:val="16"/>
              <w:szCs w:val="18"/>
            </w:rPr>
            <w:t>4</w:t>
          </w:r>
        </w:p>
      </w:tc>
      <w:tc>
        <w:tcPr>
          <w:tcW w:w="327" w:type="dxa"/>
          <w:noWrap/>
          <w:tcMar>
            <w:top w:w="29" w:type="dxa"/>
            <w:left w:w="115" w:type="dxa"/>
            <w:bottom w:w="29" w:type="dxa"/>
            <w:right w:w="115" w:type="dxa"/>
          </w:tcMar>
          <w:tcFitText/>
          <w:vAlign w:val="center"/>
        </w:tcPr>
        <w:p w14:paraId="6F41D501" w14:textId="77777777" w:rsidR="00AC26DD" w:rsidRPr="001C4A95" w:rsidRDefault="00AC26DD" w:rsidP="00AC26DD">
          <w:pPr>
            <w:ind w:right="-180"/>
            <w:rPr>
              <w:rFonts w:eastAsia="Open Sans SemiBold" w:cs="Arial"/>
              <w:b/>
              <w:color w:val="F37321"/>
              <w:sz w:val="16"/>
              <w:szCs w:val="18"/>
            </w:rPr>
          </w:pPr>
          <w:r w:rsidRPr="0054266F">
            <w:rPr>
              <w:rFonts w:eastAsia="Open Sans SemiBold" w:cs="Arial"/>
              <w:b/>
              <w:color w:val="F37321"/>
              <w:sz w:val="16"/>
              <w:szCs w:val="18"/>
            </w:rPr>
            <w:t>5</w:t>
          </w:r>
        </w:p>
      </w:tc>
      <w:tc>
        <w:tcPr>
          <w:tcW w:w="327" w:type="dxa"/>
          <w:noWrap/>
          <w:tcMar>
            <w:top w:w="29" w:type="dxa"/>
            <w:left w:w="115" w:type="dxa"/>
            <w:bottom w:w="29" w:type="dxa"/>
            <w:right w:w="115" w:type="dxa"/>
          </w:tcMar>
          <w:tcFitText/>
          <w:vAlign w:val="center"/>
        </w:tcPr>
        <w:p w14:paraId="4B95713D" w14:textId="77777777" w:rsidR="00AC26DD" w:rsidRPr="001C4A95" w:rsidRDefault="00AC26DD" w:rsidP="00AC26DD">
          <w:pPr>
            <w:ind w:right="-180"/>
            <w:rPr>
              <w:rFonts w:eastAsia="Open Sans SemiBold" w:cs="Arial"/>
              <w:b/>
              <w:color w:val="F37321"/>
              <w:sz w:val="16"/>
              <w:szCs w:val="18"/>
            </w:rPr>
          </w:pPr>
          <w:r w:rsidRPr="0054266F">
            <w:rPr>
              <w:rFonts w:eastAsia="Open Sans SemiBold" w:cs="Arial"/>
              <w:b/>
              <w:color w:val="F37321"/>
              <w:sz w:val="16"/>
              <w:szCs w:val="18"/>
            </w:rPr>
            <w:t>6</w:t>
          </w:r>
        </w:p>
      </w:tc>
    </w:tr>
  </w:tbl>
  <w:p w14:paraId="1D157400" w14:textId="77777777" w:rsidR="000515CC" w:rsidRPr="00AC26DD" w:rsidRDefault="000515CC" w:rsidP="00AC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4A3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54EC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F2A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540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A23D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CC8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EA31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06AE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38823C"/>
    <w:lvl w:ilvl="0">
      <w:start w:val="1"/>
      <w:numFmt w:val="decimal"/>
      <w:pStyle w:val="ListNumber"/>
      <w:lvlText w:val="%1."/>
      <w:lvlJc w:val="left"/>
      <w:pPr>
        <w:tabs>
          <w:tab w:val="num" w:pos="360"/>
        </w:tabs>
        <w:ind w:left="360" w:hanging="360"/>
      </w:pPr>
      <w:rPr>
        <w:b/>
        <w:color w:val="7F7F7F" w:themeColor="text1" w:themeTint="80"/>
      </w:rPr>
    </w:lvl>
  </w:abstractNum>
  <w:abstractNum w:abstractNumId="9" w15:restartNumberingAfterBreak="0">
    <w:nsid w:val="FFFFFF89"/>
    <w:multiLevelType w:val="singleLevel"/>
    <w:tmpl w:val="56486894"/>
    <w:lvl w:ilvl="0">
      <w:start w:val="1"/>
      <w:numFmt w:val="bullet"/>
      <w:pStyle w:val="ListBullet"/>
      <w:lvlText w:val=""/>
      <w:lvlJc w:val="left"/>
      <w:pPr>
        <w:tabs>
          <w:tab w:val="num" w:pos="360"/>
        </w:tabs>
        <w:ind w:left="360" w:hanging="360"/>
      </w:pPr>
      <w:rPr>
        <w:rFonts w:ascii="Symbol" w:hAnsi="Symbol" w:hint="default"/>
        <w:color w:val="808080" w:themeColor="background1" w:themeShade="80"/>
      </w:rPr>
    </w:lvl>
  </w:abstractNum>
  <w:abstractNum w:abstractNumId="10" w15:restartNumberingAfterBreak="0">
    <w:nsid w:val="03D11186"/>
    <w:multiLevelType w:val="multilevel"/>
    <w:tmpl w:val="E996E79C"/>
    <w:lvl w:ilvl="0">
      <w:start w:val="1"/>
      <w:numFmt w:val="bullet"/>
      <w:lvlText w:val="●"/>
      <w:lvlJc w:val="left"/>
      <w:pPr>
        <w:ind w:left="720" w:hanging="360"/>
      </w:pPr>
      <w:rPr>
        <w:color w:val="666666"/>
        <w:u w:val="none"/>
      </w:rPr>
    </w:lvl>
    <w:lvl w:ilvl="1">
      <w:start w:val="1"/>
      <w:numFmt w:val="bullet"/>
      <w:lvlText w:val="●"/>
      <w:lvlJc w:val="left"/>
      <w:pPr>
        <w:ind w:left="1440" w:hanging="360"/>
      </w:pPr>
      <w:rPr>
        <w:color w:val="434343"/>
        <w:u w:val="none"/>
      </w:rPr>
    </w:lvl>
    <w:lvl w:ilvl="2">
      <w:start w:val="1"/>
      <w:numFmt w:val="bullet"/>
      <w:lvlText w:val="–"/>
      <w:lvlJc w:val="left"/>
      <w:pPr>
        <w:ind w:left="2160" w:hanging="360"/>
      </w:pPr>
      <w:rPr>
        <w:color w:val="434343"/>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E702EE"/>
    <w:multiLevelType w:val="multilevel"/>
    <w:tmpl w:val="3AAC507E"/>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196121"/>
    <w:multiLevelType w:val="multilevel"/>
    <w:tmpl w:val="F676CD6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A54DB"/>
    <w:multiLevelType w:val="multilevel"/>
    <w:tmpl w:val="42646A14"/>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C6A0C"/>
    <w:multiLevelType w:val="multilevel"/>
    <w:tmpl w:val="57FA9CD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8B372B"/>
    <w:multiLevelType w:val="hybridMultilevel"/>
    <w:tmpl w:val="6D70C2A6"/>
    <w:lvl w:ilvl="0" w:tplc="C0E83338">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786334AE"/>
    <w:multiLevelType w:val="multilevel"/>
    <w:tmpl w:val="5AC6CB0A"/>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90BFD"/>
    <w:multiLevelType w:val="multilevel"/>
    <w:tmpl w:val="58CAA2A6"/>
    <w:lvl w:ilvl="0">
      <w:start w:val="1"/>
      <w:numFmt w:val="decimal"/>
      <w:lvlText w:val="%1."/>
      <w:lvlJc w:val="left"/>
      <w:pPr>
        <w:ind w:left="720" w:hanging="360"/>
      </w:pPr>
      <w:rPr>
        <w:rFonts w:ascii="Open Sans" w:eastAsia="Open Sans" w:hAnsi="Open Sans" w:cs="Open Sans"/>
        <w:b/>
        <w:color w:val="66666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3"/>
  </w:num>
  <w:num w:numId="2">
    <w:abstractNumId w:val="10"/>
  </w:num>
  <w:num w:numId="3">
    <w:abstractNumId w:val="16"/>
  </w:num>
  <w:num w:numId="4">
    <w:abstractNumId w:val="14"/>
  </w:num>
  <w:num w:numId="5">
    <w:abstractNumId w:val="17"/>
  </w:num>
  <w:num w:numId="6">
    <w:abstractNumId w:val="11"/>
  </w:num>
  <w:num w:numId="7">
    <w:abstractNumId w:val="12"/>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8"/>
    <w:lvlOverride w:ilvl="0">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41"/>
    <w:rsid w:val="00004150"/>
    <w:rsid w:val="000149B7"/>
    <w:rsid w:val="000360F1"/>
    <w:rsid w:val="000515CC"/>
    <w:rsid w:val="000522B7"/>
    <w:rsid w:val="00072600"/>
    <w:rsid w:val="000B041B"/>
    <w:rsid w:val="000B29DF"/>
    <w:rsid w:val="000C2AF2"/>
    <w:rsid w:val="000D518F"/>
    <w:rsid w:val="000D642D"/>
    <w:rsid w:val="000F3EFC"/>
    <w:rsid w:val="00111B92"/>
    <w:rsid w:val="0011737B"/>
    <w:rsid w:val="00167D07"/>
    <w:rsid w:val="001933B9"/>
    <w:rsid w:val="0019454D"/>
    <w:rsid w:val="002050E5"/>
    <w:rsid w:val="002501F9"/>
    <w:rsid w:val="00255A0A"/>
    <w:rsid w:val="0029303E"/>
    <w:rsid w:val="00293F60"/>
    <w:rsid w:val="002D1A5F"/>
    <w:rsid w:val="002F0AF6"/>
    <w:rsid w:val="00326852"/>
    <w:rsid w:val="003537B9"/>
    <w:rsid w:val="00366AFB"/>
    <w:rsid w:val="0036738B"/>
    <w:rsid w:val="0038398B"/>
    <w:rsid w:val="003875B5"/>
    <w:rsid w:val="00394F99"/>
    <w:rsid w:val="003B12F7"/>
    <w:rsid w:val="003B1C37"/>
    <w:rsid w:val="003E2C6D"/>
    <w:rsid w:val="003F7B84"/>
    <w:rsid w:val="004156B1"/>
    <w:rsid w:val="004565DF"/>
    <w:rsid w:val="004653B0"/>
    <w:rsid w:val="00466879"/>
    <w:rsid w:val="00477ECD"/>
    <w:rsid w:val="004A1E95"/>
    <w:rsid w:val="004B4A36"/>
    <w:rsid w:val="004B7247"/>
    <w:rsid w:val="004F57F1"/>
    <w:rsid w:val="00514B6D"/>
    <w:rsid w:val="0054266F"/>
    <w:rsid w:val="00597045"/>
    <w:rsid w:val="005E40CC"/>
    <w:rsid w:val="00607807"/>
    <w:rsid w:val="00611BBB"/>
    <w:rsid w:val="00667C93"/>
    <w:rsid w:val="0068617D"/>
    <w:rsid w:val="0069617D"/>
    <w:rsid w:val="00696C0D"/>
    <w:rsid w:val="006B07B4"/>
    <w:rsid w:val="006B38E1"/>
    <w:rsid w:val="006B5AF1"/>
    <w:rsid w:val="006D43AD"/>
    <w:rsid w:val="006F1CAA"/>
    <w:rsid w:val="0072398B"/>
    <w:rsid w:val="00724B71"/>
    <w:rsid w:val="007269B0"/>
    <w:rsid w:val="00731637"/>
    <w:rsid w:val="007368A2"/>
    <w:rsid w:val="007B1BC0"/>
    <w:rsid w:val="007D5ECF"/>
    <w:rsid w:val="007D6F3D"/>
    <w:rsid w:val="008003B8"/>
    <w:rsid w:val="00805224"/>
    <w:rsid w:val="00834B4C"/>
    <w:rsid w:val="00854223"/>
    <w:rsid w:val="0089219B"/>
    <w:rsid w:val="008E2176"/>
    <w:rsid w:val="008E4381"/>
    <w:rsid w:val="00900D16"/>
    <w:rsid w:val="009619B8"/>
    <w:rsid w:val="009732E4"/>
    <w:rsid w:val="009A5416"/>
    <w:rsid w:val="009D3D6C"/>
    <w:rsid w:val="009D47A4"/>
    <w:rsid w:val="009E2ADF"/>
    <w:rsid w:val="00A64F75"/>
    <w:rsid w:val="00A66841"/>
    <w:rsid w:val="00AC205E"/>
    <w:rsid w:val="00AC26DD"/>
    <w:rsid w:val="00AE0125"/>
    <w:rsid w:val="00B00FA9"/>
    <w:rsid w:val="00B20E66"/>
    <w:rsid w:val="00B34DCA"/>
    <w:rsid w:val="00B47D79"/>
    <w:rsid w:val="00BB03F5"/>
    <w:rsid w:val="00BC64C4"/>
    <w:rsid w:val="00BD212B"/>
    <w:rsid w:val="00BE4A5E"/>
    <w:rsid w:val="00C03FE1"/>
    <w:rsid w:val="00C47FC0"/>
    <w:rsid w:val="00C52CFB"/>
    <w:rsid w:val="00CE7675"/>
    <w:rsid w:val="00CF05B7"/>
    <w:rsid w:val="00D068B7"/>
    <w:rsid w:val="00D146E1"/>
    <w:rsid w:val="00D3424A"/>
    <w:rsid w:val="00D426D9"/>
    <w:rsid w:val="00D66420"/>
    <w:rsid w:val="00D96075"/>
    <w:rsid w:val="00DF2795"/>
    <w:rsid w:val="00E006BB"/>
    <w:rsid w:val="00E01207"/>
    <w:rsid w:val="00E47AD9"/>
    <w:rsid w:val="00E54B8C"/>
    <w:rsid w:val="00E837C8"/>
    <w:rsid w:val="00E856ED"/>
    <w:rsid w:val="00E93286"/>
    <w:rsid w:val="00E96D4B"/>
    <w:rsid w:val="00EA2F2F"/>
    <w:rsid w:val="00EA31EA"/>
    <w:rsid w:val="00EA6071"/>
    <w:rsid w:val="00EC0AB5"/>
    <w:rsid w:val="00EC4A7A"/>
    <w:rsid w:val="00EC4D30"/>
    <w:rsid w:val="00ED7428"/>
    <w:rsid w:val="00F650D5"/>
    <w:rsid w:val="00F90205"/>
    <w:rsid w:val="00FB49C7"/>
    <w:rsid w:val="00FB5B5B"/>
    <w:rsid w:val="00FB62B3"/>
    <w:rsid w:val="00FE06BC"/>
    <w:rsid w:val="00FF0DF7"/>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4C9B"/>
  <w15:docId w15:val="{5FFC2127-C171-2F47-B312-72219D7C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D79"/>
    <w:pPr>
      <w:spacing w:line="252" w:lineRule="auto"/>
    </w:pPr>
    <w:rPr>
      <w:rFonts w:ascii="Arial" w:hAnsi="Arial"/>
    </w:rPr>
  </w:style>
  <w:style w:type="paragraph" w:styleId="Heading1">
    <w:name w:val="heading 1"/>
    <w:basedOn w:val="Normal"/>
    <w:next w:val="Normal"/>
    <w:uiPriority w:val="9"/>
    <w:qFormat/>
    <w:pPr>
      <w:keepNext/>
      <w:keepLines/>
      <w:ind w:right="1080"/>
      <w:outlineLvl w:val="0"/>
    </w:pPr>
  </w:style>
  <w:style w:type="paragraph" w:styleId="Heading2">
    <w:name w:val="heading 2"/>
    <w:basedOn w:val="Normal"/>
    <w:next w:val="Normal"/>
    <w:uiPriority w:val="9"/>
    <w:unhideWhenUsed/>
    <w:qFormat/>
    <w:rsid w:val="00B47D79"/>
    <w:pPr>
      <w:keepNext/>
      <w:keepLines/>
      <w:spacing w:before="360" w:after="120"/>
      <w:outlineLvl w:val="1"/>
    </w:pPr>
    <w:rPr>
      <w:rFonts w:eastAsia="Open Sans SemiBold" w:cs="Open Sans SemiBold"/>
      <w:b/>
      <w:sz w:val="28"/>
      <w:szCs w:val="30"/>
    </w:rPr>
  </w:style>
  <w:style w:type="paragraph" w:styleId="Heading3">
    <w:name w:val="heading 3"/>
    <w:basedOn w:val="Normal"/>
    <w:next w:val="Normal"/>
    <w:uiPriority w:val="9"/>
    <w:unhideWhenUsed/>
    <w:qFormat/>
    <w:rsid w:val="00B47D79"/>
    <w:pPr>
      <w:keepNext/>
      <w:keepLines/>
      <w:spacing w:before="320" w:after="80"/>
      <w:outlineLvl w:val="2"/>
    </w:pPr>
    <w:rPr>
      <w:rFonts w:eastAsia="Open Sans SemiBold" w:cs="Open Sans SemiBold"/>
      <w:b/>
      <w:sz w:val="26"/>
      <w:szCs w:val="26"/>
    </w:rPr>
  </w:style>
  <w:style w:type="paragraph" w:styleId="Heading4">
    <w:name w:val="heading 4"/>
    <w:basedOn w:val="Normal"/>
    <w:next w:val="Normal"/>
    <w:uiPriority w:val="9"/>
    <w:unhideWhenUsed/>
    <w:qFormat/>
    <w:rsid w:val="00B47D79"/>
    <w:pPr>
      <w:keepNext/>
      <w:keepLines/>
      <w:spacing w:before="200"/>
      <w:outlineLvl w:val="3"/>
    </w:pPr>
    <w:rPr>
      <w:rFonts w:eastAsia="Open Sans SemiBold" w:cs="Open Sans SemiBold"/>
      <w:b/>
      <w:sz w:val="24"/>
      <w:szCs w:val="24"/>
    </w:rPr>
  </w:style>
  <w:style w:type="paragraph" w:styleId="Heading5">
    <w:name w:val="heading 5"/>
    <w:basedOn w:val="Normal"/>
    <w:next w:val="Normal"/>
    <w:uiPriority w:val="9"/>
    <w:unhideWhenUsed/>
    <w:qFormat/>
    <w:rsid w:val="00B47D79"/>
    <w:pPr>
      <w:keepNext/>
      <w:keepLines/>
      <w:spacing w:before="120"/>
      <w:outlineLvl w:val="4"/>
    </w:pPr>
    <w:rPr>
      <w:rFonts w:eastAsia="Open Sans SemiBold" w:cs="Open Sans SemiBold"/>
      <w:b/>
    </w:rPr>
  </w:style>
  <w:style w:type="paragraph" w:styleId="Heading6">
    <w:name w:val="heading 6"/>
    <w:basedOn w:val="Normal"/>
    <w:next w:val="Normal"/>
    <w:uiPriority w:val="9"/>
    <w:unhideWhenUsed/>
    <w:qFormat/>
    <w:rsid w:val="00B47D79"/>
    <w:pPr>
      <w:keepNext/>
      <w:keepLines/>
      <w:spacing w:before="240" w:after="80"/>
      <w:outlineLvl w:val="5"/>
    </w:pPr>
    <w:rPr>
      <w:rFonts w:eastAsia="Open Sans SemiBold" w:cs="Open Sans SemiBold"/>
      <w:b/>
      <w:i/>
    </w:rPr>
  </w:style>
  <w:style w:type="paragraph" w:styleId="Heading9">
    <w:name w:val="heading 9"/>
    <w:basedOn w:val="Normal"/>
    <w:next w:val="Normal"/>
    <w:link w:val="Heading9Char"/>
    <w:uiPriority w:val="9"/>
    <w:unhideWhenUsed/>
    <w:qFormat/>
    <w:rsid w:val="00293F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47D79"/>
    <w:pPr>
      <w:keepNext/>
      <w:keepLines/>
      <w:spacing w:after="60"/>
    </w:pPr>
    <w:rPr>
      <w:rFonts w:eastAsia="Open Sans SemiBold" w:cs="Open Sans SemiBold"/>
      <w:b/>
      <w:color w:val="666666"/>
      <w:sz w:val="40"/>
      <w:szCs w:val="40"/>
    </w:rPr>
  </w:style>
  <w:style w:type="paragraph" w:styleId="Subtitle">
    <w:name w:val="Subtitle"/>
    <w:basedOn w:val="Normal"/>
    <w:next w:val="Normal"/>
    <w:uiPriority w:val="11"/>
    <w:qFormat/>
    <w:rsid w:val="00B47D79"/>
    <w:pPr>
      <w:keepNext/>
      <w:keepLines/>
      <w:spacing w:after="600"/>
    </w:pPr>
    <w:rPr>
      <w:color w:val="666666"/>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63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637"/>
    <w:rPr>
      <w:rFonts w:ascii="Times New Roman" w:hAnsi="Times New Roman" w:cs="Times New Roman"/>
      <w:sz w:val="18"/>
      <w:szCs w:val="18"/>
    </w:rPr>
  </w:style>
  <w:style w:type="paragraph" w:styleId="Header">
    <w:name w:val="header"/>
    <w:basedOn w:val="Normal"/>
    <w:link w:val="HeaderChar"/>
    <w:uiPriority w:val="99"/>
    <w:unhideWhenUsed/>
    <w:rsid w:val="00731637"/>
    <w:pPr>
      <w:tabs>
        <w:tab w:val="center" w:pos="4680"/>
        <w:tab w:val="right" w:pos="9360"/>
      </w:tabs>
      <w:spacing w:line="240" w:lineRule="auto"/>
    </w:pPr>
  </w:style>
  <w:style w:type="character" w:customStyle="1" w:styleId="HeaderChar">
    <w:name w:val="Header Char"/>
    <w:basedOn w:val="DefaultParagraphFont"/>
    <w:link w:val="Header"/>
    <w:uiPriority w:val="99"/>
    <w:rsid w:val="00731637"/>
  </w:style>
  <w:style w:type="paragraph" w:styleId="Footer">
    <w:name w:val="footer"/>
    <w:basedOn w:val="Normal"/>
    <w:link w:val="FooterChar"/>
    <w:uiPriority w:val="99"/>
    <w:unhideWhenUsed/>
    <w:rsid w:val="00731637"/>
    <w:pPr>
      <w:tabs>
        <w:tab w:val="center" w:pos="4680"/>
        <w:tab w:val="right" w:pos="9360"/>
      </w:tabs>
      <w:spacing w:line="240" w:lineRule="auto"/>
    </w:pPr>
  </w:style>
  <w:style w:type="character" w:customStyle="1" w:styleId="FooterChar">
    <w:name w:val="Footer Char"/>
    <w:basedOn w:val="DefaultParagraphFont"/>
    <w:link w:val="Footer"/>
    <w:uiPriority w:val="99"/>
    <w:rsid w:val="00731637"/>
  </w:style>
  <w:style w:type="paragraph" w:customStyle="1" w:styleId="Normalshort">
    <w:name w:val="Normal short"/>
    <w:basedOn w:val="Normal"/>
    <w:qFormat/>
    <w:rsid w:val="00477ECD"/>
    <w:pPr>
      <w:ind w:right="706"/>
    </w:pPr>
  </w:style>
  <w:style w:type="paragraph" w:styleId="ListNumber">
    <w:name w:val="List Number"/>
    <w:basedOn w:val="Normalshort"/>
    <w:uiPriority w:val="99"/>
    <w:unhideWhenUsed/>
    <w:rsid w:val="00477ECD"/>
    <w:pPr>
      <w:numPr>
        <w:numId w:val="12"/>
      </w:numPr>
      <w:contextualSpacing/>
    </w:pPr>
  </w:style>
  <w:style w:type="table" w:styleId="TableGrid">
    <w:name w:val="Table Grid"/>
    <w:basedOn w:val="TableNormal"/>
    <w:uiPriority w:val="39"/>
    <w:rsid w:val="00293F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293F60"/>
    <w:rPr>
      <w:rFonts w:asciiTheme="majorHAnsi" w:eastAsiaTheme="majorEastAsia" w:hAnsiTheme="majorHAnsi" w:cstheme="majorBidi"/>
      <w:i/>
      <w:iCs/>
      <w:color w:val="272727" w:themeColor="text1" w:themeTint="D8"/>
      <w:sz w:val="21"/>
      <w:szCs w:val="21"/>
    </w:rPr>
  </w:style>
  <w:style w:type="paragraph" w:styleId="ListBullet">
    <w:name w:val="List Bullet"/>
    <w:basedOn w:val="Normalshort"/>
    <w:uiPriority w:val="99"/>
    <w:unhideWhenUsed/>
    <w:rsid w:val="00BD212B"/>
    <w:pPr>
      <w:numPr>
        <w:numId w:val="17"/>
      </w:numPr>
      <w:contextualSpacing/>
    </w:pPr>
  </w:style>
  <w:style w:type="character" w:styleId="Hyperlink">
    <w:name w:val="Hyperlink"/>
    <w:basedOn w:val="DefaultParagraphFont"/>
    <w:uiPriority w:val="99"/>
    <w:unhideWhenUsed/>
    <w:rsid w:val="00D66420"/>
    <w:rPr>
      <w:color w:val="1155CC"/>
      <w:u w:val="single"/>
    </w:rPr>
  </w:style>
  <w:style w:type="character" w:styleId="UnresolvedMention">
    <w:name w:val="Unresolved Mention"/>
    <w:basedOn w:val="DefaultParagraphFont"/>
    <w:uiPriority w:val="99"/>
    <w:semiHidden/>
    <w:unhideWhenUsed/>
    <w:rsid w:val="0019454D"/>
    <w:rPr>
      <w:color w:val="605E5C"/>
      <w:shd w:val="clear" w:color="auto" w:fill="E1DFDD"/>
    </w:rPr>
  </w:style>
  <w:style w:type="character" w:styleId="FollowedHyperlink">
    <w:name w:val="FollowedHyperlink"/>
    <w:basedOn w:val="DefaultParagraphFont"/>
    <w:uiPriority w:val="99"/>
    <w:semiHidden/>
    <w:unhideWhenUsed/>
    <w:rsid w:val="00D66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8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amplify.com/adop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54E5-EBBE-CD45-B119-CCD8B034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2020-02-18T15:09:00Z</dcterms:created>
  <dcterms:modified xsi:type="dcterms:W3CDTF">2021-02-01T19:48:00Z</dcterms:modified>
</cp:coreProperties>
</file>