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Open Sans" w:cs="Open Sans" w:eastAsia="Open Sans" w:hAnsi="Open Sans"/>
        </w:rPr>
      </w:pPr>
      <w:bookmarkStart w:colFirst="0" w:colLast="0" w:name="_4k8h3if9nq4f" w:id="0"/>
      <w:bookmarkEnd w:id="0"/>
      <w:r w:rsidDel="00000000" w:rsidR="00000000" w:rsidRPr="00000000">
        <w:rPr>
          <w:rFonts w:ascii="Open Sans" w:cs="Open Sans" w:eastAsia="Open Sans" w:hAnsi="Open Sans"/>
          <w:rtl w:val="0"/>
        </w:rPr>
        <w:t xml:space="preserve">Planning</w:t>
      </w:r>
      <w:r w:rsidDel="00000000" w:rsidR="00000000" w:rsidRPr="00000000">
        <w:rPr>
          <w:rFonts w:ascii="Open Sans" w:cs="Open Sans" w:eastAsia="Open Sans" w:hAnsi="Open Sans"/>
          <w:rtl w:val="0"/>
        </w:rPr>
        <w:t xml:space="preserve"> tool: @Home Resources</w:t>
      </w:r>
    </w:p>
    <w:p w:rsidR="00000000" w:rsidDel="00000000" w:rsidP="00000000" w:rsidRDefault="00000000" w:rsidRPr="00000000" w14:paraId="00000002">
      <w:pPr>
        <w:pStyle w:val="Heading2"/>
        <w:rPr/>
      </w:pPr>
      <w:bookmarkStart w:colFirst="0" w:colLast="0" w:name="_v243axccq3mt" w:id="1"/>
      <w:bookmarkEnd w:id="1"/>
      <w:r w:rsidDel="00000000" w:rsidR="00000000" w:rsidRPr="00000000">
        <w:rPr>
          <w:rtl w:val="0"/>
        </w:rPr>
        <w:t xml:space="preserve">@Home Units: Planning for instructional routines and multimodal learning</w:t>
      </w: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r w:rsidDel="00000000" w:rsidR="00000000" w:rsidRPr="00000000">
        <w:rPr>
          <w:rFonts w:ascii="Open Sans" w:cs="Open Sans" w:eastAsia="Open Sans" w:hAnsi="Open Sans"/>
          <w:rtl w:val="0"/>
        </w:rPr>
        <w:t xml:space="preserve">A first step in planning to use @Home Units is determining how your students will engage with multimodal learning. Your @Home Unit’s Teacher Overview provides guidance to frame decisions you’ll need to make, and many suggestions to support decision making.</w:t>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rtl w:val="0"/>
        </w:rPr>
        <w:t xml:space="preserve">Find “Adapting the Amplify Science Approach for Remote Learning” in your Teacher Overview. Review the categories and suggestions, then use the organizer below to make a plan.</w:t>
      </w:r>
    </w:p>
    <w:p w:rsidR="00000000" w:rsidDel="00000000" w:rsidP="00000000" w:rsidRDefault="00000000" w:rsidRPr="00000000" w14:paraId="00000006">
      <w:pPr>
        <w:rPr>
          <w:rFonts w:ascii="Open Sans" w:cs="Open Sans" w:eastAsia="Open Sans" w:hAnsi="Open Sans"/>
        </w:rPr>
      </w:pPr>
      <w:r w:rsidDel="00000000" w:rsidR="00000000" w:rsidRPr="00000000">
        <w:rPr>
          <w:rtl w:val="0"/>
        </w:rPr>
      </w:r>
    </w:p>
    <w:tbl>
      <w:tblPr>
        <w:tblStyle w:val="Table1"/>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3835"/>
        <w:gridCol w:w="3835"/>
        <w:gridCol w:w="3835"/>
        <w:tblGridChange w:id="0">
          <w:tblGrid>
            <w:gridCol w:w="2895"/>
            <w:gridCol w:w="3835"/>
            <w:gridCol w:w="3835"/>
            <w:gridCol w:w="38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How will you approach this modality or instructional routine? Note, you may vary your approach throughout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What do you need to plan or do to enact this 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How will you communicate your plan with students and/or families?</w:t>
            </w:r>
          </w:p>
        </w:tc>
      </w:tr>
      <w:tr>
        <w:trPr>
          <w:trHeight w:val="1795.000000000000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sz w:val="28"/>
                <w:szCs w:val="28"/>
              </w:rPr>
            </w:pPr>
            <w:r w:rsidDel="00000000" w:rsidR="00000000" w:rsidRPr="00000000">
              <w:rPr>
                <w:rFonts w:ascii="Open Sans SemiBold" w:cs="Open Sans SemiBold" w:eastAsia="Open Sans SemiBold" w:hAnsi="Open Sans SemiBold"/>
                <w:sz w:val="28"/>
                <w:szCs w:val="28"/>
                <w:rtl w:val="0"/>
              </w:rPr>
              <w:t xml:space="preserve">Student talk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trHeight w:val="1795.000000000000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sz w:val="28"/>
                <w:szCs w:val="28"/>
              </w:rPr>
            </w:pPr>
            <w:r w:rsidDel="00000000" w:rsidR="00000000" w:rsidRPr="00000000">
              <w:rPr>
                <w:rFonts w:ascii="Open Sans SemiBold" w:cs="Open Sans SemiBold" w:eastAsia="Open Sans SemiBold" w:hAnsi="Open Sans SemiBold"/>
                <w:sz w:val="28"/>
                <w:szCs w:val="28"/>
                <w:rtl w:val="0"/>
              </w:rPr>
              <w:t xml:space="preserve">Student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trHeight w:val="1795.000000000000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SemiBold" w:cs="Open Sans SemiBold" w:eastAsia="Open Sans SemiBold" w:hAnsi="Open Sans SemiBold"/>
                <w:sz w:val="28"/>
                <w:szCs w:val="28"/>
              </w:rPr>
            </w:pPr>
            <w:r w:rsidDel="00000000" w:rsidR="00000000" w:rsidRPr="00000000">
              <w:rPr>
                <w:rFonts w:ascii="Open Sans SemiBold" w:cs="Open Sans SemiBold" w:eastAsia="Open Sans SemiBold" w:hAnsi="Open Sans SemiBold"/>
                <w:sz w:val="28"/>
                <w:szCs w:val="28"/>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Style w:val="Heading2"/>
        <w:rPr>
          <w:rFonts w:ascii="Open Sans" w:cs="Open Sans" w:eastAsia="Open Sans" w:hAnsi="Open Sans"/>
        </w:rPr>
      </w:pPr>
      <w:bookmarkStart w:colFirst="0" w:colLast="0" w:name="_2dwmz9azaat" w:id="2"/>
      <w:bookmarkEnd w:id="2"/>
      <w:r w:rsidDel="00000000" w:rsidR="00000000" w:rsidRPr="00000000">
        <w:rPr>
          <w:rtl w:val="0"/>
        </w:rPr>
        <w:t xml:space="preserve">@Home Units: Planning for instructional routines and multimodal learning (cont.)</w:t>
      </w: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tbl>
      <w:tblPr>
        <w:tblStyle w:val="Table2"/>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3835"/>
        <w:gridCol w:w="3835"/>
        <w:gridCol w:w="3835"/>
        <w:tblGridChange w:id="0">
          <w:tblGrid>
            <w:gridCol w:w="2895"/>
            <w:gridCol w:w="3835"/>
            <w:gridCol w:w="3835"/>
            <w:gridCol w:w="3835"/>
          </w:tblGrid>
        </w:tblGridChange>
      </w:tblGrid>
      <w:tr>
        <w:trPr>
          <w:trHeight w:val="12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SemiBold" w:cs="Open Sans SemiBold" w:eastAsia="Open Sans SemiBold" w:hAnsi="Open Sans SemiBold"/>
              </w:rPr>
            </w:pPr>
            <w:r w:rsidDel="00000000" w:rsidR="00000000" w:rsidRPr="00000000">
              <w:rPr>
                <w:rtl w:val="0"/>
              </w:rPr>
            </w:r>
          </w:p>
          <w:p w:rsidR="00000000" w:rsidDel="00000000" w:rsidP="00000000" w:rsidRDefault="00000000" w:rsidRPr="00000000" w14:paraId="0000001B">
            <w:pPr>
              <w:widowControl w:val="0"/>
              <w:spacing w:line="240" w:lineRule="auto"/>
              <w:rPr>
                <w:rFonts w:ascii="Open Sans SemiBold" w:cs="Open Sans SemiBold" w:eastAsia="Open Sans SemiBold" w:hAnsi="Open Sans SemiBo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How will you approach this modality or instructional routine? Note, you may vary your approach throughout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What do you need to plan or do to enact this 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How will you communicate your plan with students and/or families?</w:t>
            </w:r>
          </w:p>
        </w:tc>
      </w:tr>
      <w:tr>
        <w:trPr>
          <w:trHeight w:val="217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Open Sans SemiBold" w:cs="Open Sans SemiBold" w:eastAsia="Open Sans SemiBold" w:hAnsi="Open Sans SemiBold"/>
                <w:sz w:val="28"/>
                <w:szCs w:val="28"/>
              </w:rPr>
            </w:pPr>
            <w:r w:rsidDel="00000000" w:rsidR="00000000" w:rsidRPr="00000000">
              <w:rPr>
                <w:rFonts w:ascii="Open Sans SemiBold" w:cs="Open Sans SemiBold" w:eastAsia="Open Sans SemiBold" w:hAnsi="Open Sans SemiBold"/>
                <w:sz w:val="28"/>
                <w:szCs w:val="28"/>
                <w:rtl w:val="0"/>
              </w:rPr>
              <w:t xml:space="preserve">Hands-on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Open Sans" w:cs="Open Sans" w:eastAsia="Open Sans" w:hAnsi="Open Sans"/>
              </w:rPr>
            </w:pPr>
            <w:r w:rsidDel="00000000" w:rsidR="00000000" w:rsidRPr="00000000">
              <w:rPr>
                <w:rtl w:val="0"/>
              </w:rPr>
            </w:r>
          </w:p>
        </w:tc>
      </w:tr>
      <w:tr>
        <w:trPr>
          <w:trHeight w:val="217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Open Sans SemiBold" w:cs="Open Sans SemiBold" w:eastAsia="Open Sans SemiBold" w:hAnsi="Open Sans SemiBold"/>
                <w:sz w:val="28"/>
                <w:szCs w:val="28"/>
              </w:rPr>
            </w:pPr>
            <w:r w:rsidDel="00000000" w:rsidR="00000000" w:rsidRPr="00000000">
              <w:rPr>
                <w:rFonts w:ascii="Open Sans SemiBold" w:cs="Open Sans SemiBold" w:eastAsia="Open Sans SemiBold" w:hAnsi="Open Sans SemiBold"/>
                <w:sz w:val="28"/>
                <w:szCs w:val="28"/>
                <w:rtl w:val="0"/>
              </w:rPr>
              <w:t xml:space="preserve">Classroom wall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Open Sans" w:cs="Open Sans" w:eastAsia="Open Sans" w:hAnsi="Open Sans"/>
              </w:rPr>
            </w:pPr>
            <w:r w:rsidDel="00000000" w:rsidR="00000000" w:rsidRPr="00000000">
              <w:rPr>
                <w:rtl w:val="0"/>
              </w:rPr>
            </w:r>
          </w:p>
        </w:tc>
      </w:tr>
      <w:tr>
        <w:trPr>
          <w:trHeight w:val="217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Open Sans SemiBold" w:cs="Open Sans SemiBold" w:eastAsia="Open Sans SemiBold" w:hAnsi="Open Sans SemiBold"/>
                <w:sz w:val="28"/>
                <w:szCs w:val="28"/>
              </w:rPr>
            </w:pPr>
            <w:r w:rsidDel="00000000" w:rsidR="00000000" w:rsidRPr="00000000">
              <w:rPr>
                <w:rFonts w:ascii="Open Sans SemiBold" w:cs="Open Sans SemiBold" w:eastAsia="Open Sans SemiBold" w:hAnsi="Open Sans SemiBold"/>
                <w:sz w:val="28"/>
                <w:szCs w:val="28"/>
                <w:rtl w:val="0"/>
              </w:rPr>
              <w:t xml:space="preserve">Digital tools </w:t>
            </w:r>
          </w:p>
          <w:p w:rsidR="00000000" w:rsidDel="00000000" w:rsidP="00000000" w:rsidRDefault="00000000" w:rsidRPr="00000000" w14:paraId="0000002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See Student Resources in the Teacher Overview for guidance on digital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K-5 Digital Tool Access: apps.learning.amplify.com/elementary</w:t>
      </w:r>
    </w:p>
    <w:p w:rsidR="00000000" w:rsidDel="00000000" w:rsidP="00000000" w:rsidRDefault="00000000" w:rsidRPr="00000000" w14:paraId="0000002E">
      <w:pPr>
        <w:rPr/>
      </w:pPr>
      <w:r w:rsidDel="00000000" w:rsidR="00000000" w:rsidRPr="00000000">
        <w:rPr>
          <w:rtl w:val="0"/>
        </w:rPr>
        <w:t xml:space="preserve">Username: ampsci123 Password: ampsci123</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pStyle w:val="Heading1"/>
        <w:rPr/>
      </w:pPr>
      <w:bookmarkStart w:colFirst="0" w:colLast="0" w:name="_mrh2mduefuse" w:id="3"/>
      <w:bookmarkEnd w:id="3"/>
      <w:r w:rsidDel="00000000" w:rsidR="00000000" w:rsidRPr="00000000">
        <w:rPr>
          <w:rtl w:val="0"/>
        </w:rPr>
        <w:t xml:space="preserve">@Home Resources: Pacing and planning tool</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Directions: Use your class schedule to complete the first row of the table. Then follow the directions to map your week in the bottom row.</w:t>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tbl>
      <w:tblPr>
        <w:tblStyle w:val="Table3"/>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gridCol w:w="2880"/>
        <w:gridCol w:w="2880"/>
        <w:tblGridChange w:id="0">
          <w:tblGrid>
            <w:gridCol w:w="2880"/>
            <w:gridCol w:w="2880"/>
            <w:gridCol w:w="2880"/>
            <w:gridCol w:w="2880"/>
            <w:gridCol w:w="28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Day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Day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Day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Day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Minutes for science:</w:t>
            </w:r>
          </w:p>
          <w:p w:rsidR="00000000" w:rsidDel="00000000" w:rsidP="00000000" w:rsidRDefault="00000000" w:rsidRPr="00000000" w14:paraId="0000003A">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Instructional format:</w:t>
            </w:r>
          </w:p>
          <w:p w:rsidR="00000000" w:rsidDel="00000000" w:rsidP="00000000" w:rsidRDefault="00000000" w:rsidRPr="00000000" w14:paraId="0000003C">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Asynchronous</w:t>
            </w:r>
          </w:p>
          <w:p w:rsidR="00000000" w:rsidDel="00000000" w:rsidP="00000000" w:rsidRDefault="00000000" w:rsidRPr="00000000" w14:paraId="0000003D">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Online class</w:t>
            </w:r>
          </w:p>
          <w:p w:rsidR="00000000" w:rsidDel="00000000" w:rsidP="00000000" w:rsidRDefault="00000000" w:rsidRPr="00000000" w14:paraId="0000003E">
            <w:pPr>
              <w:widowControl w:val="0"/>
              <w:numPr>
                <w:ilvl w:val="0"/>
                <w:numId w:val="2"/>
              </w:numPr>
              <w:spacing w:line="240" w:lineRule="auto"/>
              <w:ind w:left="450.00000000000006" w:hanging="360.00000000000006"/>
              <w:rPr>
                <w:rFonts w:ascii="Open Sans" w:cs="Open Sans" w:eastAsia="Open Sans" w:hAnsi="Open Sans"/>
                <w:u w:val="none"/>
              </w:rPr>
            </w:pPr>
            <w:r w:rsidDel="00000000" w:rsidR="00000000" w:rsidRPr="00000000">
              <w:rPr>
                <w:rFonts w:ascii="Open Sans" w:cs="Open Sans" w:eastAsia="Open Sans" w:hAnsi="Open Sans"/>
                <w:rtl w:val="0"/>
              </w:rPr>
              <w:t xml:space="preserve">In-person</w:t>
            </w:r>
          </w:p>
          <w:p w:rsidR="00000000" w:rsidDel="00000000" w:rsidP="00000000" w:rsidRDefault="00000000" w:rsidRPr="00000000" w14:paraId="0000003F">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Minutes for science:</w:t>
            </w:r>
          </w:p>
          <w:p w:rsidR="00000000" w:rsidDel="00000000" w:rsidP="00000000" w:rsidRDefault="00000000" w:rsidRPr="00000000" w14:paraId="00000041">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Instructional format:</w:t>
            </w:r>
          </w:p>
          <w:p w:rsidR="00000000" w:rsidDel="00000000" w:rsidP="00000000" w:rsidRDefault="00000000" w:rsidRPr="00000000" w14:paraId="00000043">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Asynchronous</w:t>
            </w:r>
          </w:p>
          <w:p w:rsidR="00000000" w:rsidDel="00000000" w:rsidP="00000000" w:rsidRDefault="00000000" w:rsidRPr="00000000" w14:paraId="00000044">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Online class</w:t>
            </w:r>
          </w:p>
          <w:p w:rsidR="00000000" w:rsidDel="00000000" w:rsidP="00000000" w:rsidRDefault="00000000" w:rsidRPr="00000000" w14:paraId="00000045">
            <w:pPr>
              <w:widowControl w:val="0"/>
              <w:numPr>
                <w:ilvl w:val="0"/>
                <w:numId w:val="2"/>
              </w:numPr>
              <w:spacing w:line="240" w:lineRule="auto"/>
              <w:ind w:left="450.00000000000006" w:hanging="360.00000000000006"/>
              <w:rPr>
                <w:rFonts w:ascii="Open Sans" w:cs="Open Sans" w:eastAsia="Open Sans" w:hAnsi="Open Sans"/>
                <w:u w:val="none"/>
              </w:rPr>
            </w:pPr>
            <w:r w:rsidDel="00000000" w:rsidR="00000000" w:rsidRPr="00000000">
              <w:rPr>
                <w:rFonts w:ascii="Open Sans" w:cs="Open Sans" w:eastAsia="Open Sans" w:hAnsi="Open Sans"/>
                <w:rtl w:val="0"/>
              </w:rPr>
              <w:t xml:space="preserve">In-person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Minutes for science:</w:t>
            </w:r>
          </w:p>
          <w:p w:rsidR="00000000" w:rsidDel="00000000" w:rsidP="00000000" w:rsidRDefault="00000000" w:rsidRPr="00000000" w14:paraId="00000047">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Instructional format:</w:t>
            </w:r>
          </w:p>
          <w:p w:rsidR="00000000" w:rsidDel="00000000" w:rsidP="00000000" w:rsidRDefault="00000000" w:rsidRPr="00000000" w14:paraId="00000049">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Asynchronous</w:t>
            </w:r>
          </w:p>
          <w:p w:rsidR="00000000" w:rsidDel="00000000" w:rsidP="00000000" w:rsidRDefault="00000000" w:rsidRPr="00000000" w14:paraId="0000004A">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Online class</w:t>
            </w:r>
          </w:p>
          <w:p w:rsidR="00000000" w:rsidDel="00000000" w:rsidP="00000000" w:rsidRDefault="00000000" w:rsidRPr="00000000" w14:paraId="0000004B">
            <w:pPr>
              <w:widowControl w:val="0"/>
              <w:numPr>
                <w:ilvl w:val="0"/>
                <w:numId w:val="2"/>
              </w:numPr>
              <w:spacing w:line="240" w:lineRule="auto"/>
              <w:ind w:left="450.00000000000006" w:hanging="360.00000000000006"/>
              <w:rPr>
                <w:rFonts w:ascii="Open Sans" w:cs="Open Sans" w:eastAsia="Open Sans" w:hAnsi="Open Sans"/>
                <w:u w:val="none"/>
              </w:rPr>
            </w:pPr>
            <w:r w:rsidDel="00000000" w:rsidR="00000000" w:rsidRPr="00000000">
              <w:rPr>
                <w:rFonts w:ascii="Open Sans" w:cs="Open Sans" w:eastAsia="Open Sans" w:hAnsi="Open Sans"/>
                <w:rtl w:val="0"/>
              </w:rPr>
              <w:t xml:space="preserve">In-person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Minutes for science:</w:t>
            </w:r>
          </w:p>
          <w:p w:rsidR="00000000" w:rsidDel="00000000" w:rsidP="00000000" w:rsidRDefault="00000000" w:rsidRPr="00000000" w14:paraId="0000004D">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Instructional format:</w:t>
            </w:r>
          </w:p>
          <w:p w:rsidR="00000000" w:rsidDel="00000000" w:rsidP="00000000" w:rsidRDefault="00000000" w:rsidRPr="00000000" w14:paraId="0000004F">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Asynchronous</w:t>
            </w:r>
          </w:p>
          <w:p w:rsidR="00000000" w:rsidDel="00000000" w:rsidP="00000000" w:rsidRDefault="00000000" w:rsidRPr="00000000" w14:paraId="00000050">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Online class</w:t>
            </w:r>
          </w:p>
          <w:p w:rsidR="00000000" w:rsidDel="00000000" w:rsidP="00000000" w:rsidRDefault="00000000" w:rsidRPr="00000000" w14:paraId="00000051">
            <w:pPr>
              <w:widowControl w:val="0"/>
              <w:numPr>
                <w:ilvl w:val="0"/>
                <w:numId w:val="2"/>
              </w:numPr>
              <w:spacing w:line="240" w:lineRule="auto"/>
              <w:ind w:left="450.00000000000006" w:hanging="360.00000000000006"/>
              <w:rPr>
                <w:rFonts w:ascii="Open Sans" w:cs="Open Sans" w:eastAsia="Open Sans" w:hAnsi="Open Sans"/>
                <w:u w:val="none"/>
              </w:rPr>
            </w:pPr>
            <w:r w:rsidDel="00000000" w:rsidR="00000000" w:rsidRPr="00000000">
              <w:rPr>
                <w:rFonts w:ascii="Open Sans" w:cs="Open Sans" w:eastAsia="Open Sans" w:hAnsi="Open Sans"/>
                <w:rtl w:val="0"/>
              </w:rPr>
              <w:t xml:space="preserve">In-person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Minutes for science:</w:t>
            </w:r>
          </w:p>
          <w:p w:rsidR="00000000" w:rsidDel="00000000" w:rsidP="00000000" w:rsidRDefault="00000000" w:rsidRPr="00000000" w14:paraId="00000053">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Instructional format:</w:t>
            </w:r>
          </w:p>
          <w:p w:rsidR="00000000" w:rsidDel="00000000" w:rsidP="00000000" w:rsidRDefault="00000000" w:rsidRPr="00000000" w14:paraId="00000055">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Asynchronous</w:t>
            </w:r>
          </w:p>
          <w:p w:rsidR="00000000" w:rsidDel="00000000" w:rsidP="00000000" w:rsidRDefault="00000000" w:rsidRPr="00000000" w14:paraId="00000056">
            <w:pPr>
              <w:widowControl w:val="0"/>
              <w:numPr>
                <w:ilvl w:val="0"/>
                <w:numId w:val="2"/>
              </w:numPr>
              <w:spacing w:line="240" w:lineRule="auto"/>
              <w:ind w:left="450.00000000000006" w:hanging="360.00000000000006"/>
              <w:rPr>
                <w:rFonts w:ascii="Open Sans" w:cs="Open Sans" w:eastAsia="Open Sans" w:hAnsi="Open Sans"/>
              </w:rPr>
            </w:pPr>
            <w:r w:rsidDel="00000000" w:rsidR="00000000" w:rsidRPr="00000000">
              <w:rPr>
                <w:rFonts w:ascii="Open Sans" w:cs="Open Sans" w:eastAsia="Open Sans" w:hAnsi="Open Sans"/>
                <w:rtl w:val="0"/>
              </w:rPr>
              <w:t xml:space="preserve">Online class</w:t>
            </w:r>
          </w:p>
          <w:p w:rsidR="00000000" w:rsidDel="00000000" w:rsidP="00000000" w:rsidRDefault="00000000" w:rsidRPr="00000000" w14:paraId="00000057">
            <w:pPr>
              <w:widowControl w:val="0"/>
              <w:numPr>
                <w:ilvl w:val="0"/>
                <w:numId w:val="2"/>
              </w:numPr>
              <w:spacing w:line="240" w:lineRule="auto"/>
              <w:ind w:left="450.00000000000006" w:hanging="360.00000000000006"/>
              <w:rPr>
                <w:rFonts w:ascii="Open Sans" w:cs="Open Sans" w:eastAsia="Open Sans" w:hAnsi="Open Sans"/>
                <w:u w:val="none"/>
              </w:rPr>
            </w:pPr>
            <w:r w:rsidDel="00000000" w:rsidR="00000000" w:rsidRPr="00000000">
              <w:rPr>
                <w:rFonts w:ascii="Open Sans" w:cs="Open Sans" w:eastAsia="Open Sans" w:hAnsi="Open Sans"/>
                <w:rtl w:val="0"/>
              </w:rPr>
              <w:t xml:space="preserve">In-person</w:t>
            </w:r>
          </w:p>
        </w:tc>
      </w:tr>
      <w:tr>
        <w:trPr>
          <w:trHeight w:val="42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If you have reduced science instructional time: </w:t>
            </w:r>
            <w:r w:rsidDel="00000000" w:rsidR="00000000" w:rsidRPr="00000000">
              <w:rPr>
                <w:rFonts w:ascii="Open Sans" w:cs="Open Sans" w:eastAsia="Open Sans" w:hAnsi="Open Sans"/>
                <w:sz w:val="20"/>
                <w:szCs w:val="20"/>
                <w:rtl w:val="0"/>
              </w:rPr>
              <w:t xml:space="preserve">Use the Teacher Overview to familiarize yourself with the upcoming @Home Lessons. If applicable, pay attention to the guidance for synchronous or in-person instruction and suggestions for further condensing or expanding the unit, which are available at the unit level as well as for each lesson or chapter. Then, map your week in the row below.</w:t>
            </w:r>
          </w:p>
          <w:p w:rsidR="00000000" w:rsidDel="00000000" w:rsidP="00000000" w:rsidRDefault="00000000" w:rsidRPr="00000000" w14:paraId="0000005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If you have the same amount of science instructional time: </w:t>
            </w:r>
            <w:r w:rsidDel="00000000" w:rsidR="00000000" w:rsidRPr="00000000">
              <w:rPr>
                <w:rFonts w:ascii="Open Sans" w:cs="Open Sans" w:eastAsia="Open Sans" w:hAnsi="Open Sans"/>
                <w:sz w:val="20"/>
                <w:szCs w:val="20"/>
                <w:rtl w:val="0"/>
              </w:rPr>
              <w:t xml:space="preserve">Use the Lesson Overview Compilation in the Unit Guide to familiarize yourself with upcoming lessons. Refer to Suggestions for Synchronous Time on the next page to consider the best format for different parts of the lesson(s). Then, map your week in the row below.</w:t>
            </w:r>
          </w:p>
        </w:tc>
      </w:tr>
      <w:tr>
        <w:trPr>
          <w:trHeight w:val="42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Lesson:</w:t>
            </w:r>
          </w:p>
          <w:p w:rsidR="00000000" w:rsidDel="00000000" w:rsidP="00000000" w:rsidRDefault="00000000" w:rsidRPr="00000000" w14:paraId="0000005F">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Students work independently</w:t>
            </w:r>
          </w:p>
          <w:p w:rsidR="00000000" w:rsidDel="00000000" w:rsidP="00000000" w:rsidRDefault="00000000" w:rsidRPr="00000000" w14:paraId="00000060">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Teach live lesson (either full lesson or using synchronous suggestions)</w:t>
            </w:r>
          </w:p>
          <w:p w:rsidR="00000000" w:rsidDel="00000000" w:rsidP="00000000" w:rsidRDefault="00000000" w:rsidRPr="00000000" w14:paraId="00000061">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Assign video</w:t>
            </w:r>
          </w:p>
          <w:p w:rsidR="00000000" w:rsidDel="00000000" w:rsidP="00000000" w:rsidRDefault="00000000" w:rsidRPr="00000000" w14:paraId="00000062">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Preview</w:t>
            </w:r>
          </w:p>
          <w:p w:rsidR="00000000" w:rsidDel="00000000" w:rsidP="00000000" w:rsidRDefault="00000000" w:rsidRPr="00000000" w14:paraId="00000063">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Review</w:t>
            </w:r>
          </w:p>
          <w:p w:rsidR="00000000" w:rsidDel="00000000" w:rsidP="00000000" w:rsidRDefault="00000000" w:rsidRPr="00000000" w14:paraId="00000064">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Lesson:</w:t>
            </w:r>
          </w:p>
          <w:p w:rsidR="00000000" w:rsidDel="00000000" w:rsidP="00000000" w:rsidRDefault="00000000" w:rsidRPr="00000000" w14:paraId="00000067">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Students work independently</w:t>
            </w:r>
          </w:p>
          <w:p w:rsidR="00000000" w:rsidDel="00000000" w:rsidP="00000000" w:rsidRDefault="00000000" w:rsidRPr="00000000" w14:paraId="00000068">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Teach live lesson (either full lesson or using synchronous suggestions)</w:t>
            </w:r>
          </w:p>
          <w:p w:rsidR="00000000" w:rsidDel="00000000" w:rsidP="00000000" w:rsidRDefault="00000000" w:rsidRPr="00000000" w14:paraId="00000069">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Assign video</w:t>
            </w:r>
          </w:p>
          <w:p w:rsidR="00000000" w:rsidDel="00000000" w:rsidP="00000000" w:rsidRDefault="00000000" w:rsidRPr="00000000" w14:paraId="0000006A">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Preview</w:t>
            </w:r>
          </w:p>
          <w:p w:rsidR="00000000" w:rsidDel="00000000" w:rsidP="00000000" w:rsidRDefault="00000000" w:rsidRPr="00000000" w14:paraId="0000006B">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Review</w:t>
            </w:r>
          </w:p>
          <w:p w:rsidR="00000000" w:rsidDel="00000000" w:rsidP="00000000" w:rsidRDefault="00000000" w:rsidRPr="00000000" w14:paraId="0000006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Lesson:</w:t>
            </w:r>
          </w:p>
          <w:p w:rsidR="00000000" w:rsidDel="00000000" w:rsidP="00000000" w:rsidRDefault="00000000" w:rsidRPr="00000000" w14:paraId="0000006F">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Students work independently</w:t>
            </w:r>
          </w:p>
          <w:p w:rsidR="00000000" w:rsidDel="00000000" w:rsidP="00000000" w:rsidRDefault="00000000" w:rsidRPr="00000000" w14:paraId="00000070">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Teach live lesson (either full lesson or using synchronous suggestions)</w:t>
            </w:r>
          </w:p>
          <w:p w:rsidR="00000000" w:rsidDel="00000000" w:rsidP="00000000" w:rsidRDefault="00000000" w:rsidRPr="00000000" w14:paraId="00000071">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Assign video</w:t>
            </w:r>
          </w:p>
          <w:p w:rsidR="00000000" w:rsidDel="00000000" w:rsidP="00000000" w:rsidRDefault="00000000" w:rsidRPr="00000000" w14:paraId="00000072">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Preview</w:t>
            </w:r>
          </w:p>
          <w:p w:rsidR="00000000" w:rsidDel="00000000" w:rsidP="00000000" w:rsidRDefault="00000000" w:rsidRPr="00000000" w14:paraId="00000073">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Review</w:t>
            </w:r>
          </w:p>
          <w:p w:rsidR="00000000" w:rsidDel="00000000" w:rsidP="00000000" w:rsidRDefault="00000000" w:rsidRPr="00000000" w14:paraId="00000074">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Lesson:</w:t>
            </w:r>
          </w:p>
          <w:p w:rsidR="00000000" w:rsidDel="00000000" w:rsidP="00000000" w:rsidRDefault="00000000" w:rsidRPr="00000000" w14:paraId="00000077">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Students work independently</w:t>
            </w:r>
          </w:p>
          <w:p w:rsidR="00000000" w:rsidDel="00000000" w:rsidP="00000000" w:rsidRDefault="00000000" w:rsidRPr="00000000" w14:paraId="00000078">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Teach live lesson (either full lesson or using synchronous suggestions)</w:t>
            </w:r>
          </w:p>
          <w:p w:rsidR="00000000" w:rsidDel="00000000" w:rsidP="00000000" w:rsidRDefault="00000000" w:rsidRPr="00000000" w14:paraId="00000079">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Assign video</w:t>
            </w:r>
          </w:p>
          <w:p w:rsidR="00000000" w:rsidDel="00000000" w:rsidP="00000000" w:rsidRDefault="00000000" w:rsidRPr="00000000" w14:paraId="0000007A">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Preview</w:t>
            </w:r>
          </w:p>
          <w:p w:rsidR="00000000" w:rsidDel="00000000" w:rsidP="00000000" w:rsidRDefault="00000000" w:rsidRPr="00000000" w14:paraId="0000007B">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Review</w:t>
            </w:r>
          </w:p>
          <w:p w:rsidR="00000000" w:rsidDel="00000000" w:rsidP="00000000" w:rsidRDefault="00000000" w:rsidRPr="00000000" w14:paraId="0000007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Lesson:</w:t>
            </w:r>
          </w:p>
          <w:p w:rsidR="00000000" w:rsidDel="00000000" w:rsidP="00000000" w:rsidRDefault="00000000" w:rsidRPr="00000000" w14:paraId="0000007F">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Students work independently</w:t>
            </w:r>
          </w:p>
          <w:p w:rsidR="00000000" w:rsidDel="00000000" w:rsidP="00000000" w:rsidRDefault="00000000" w:rsidRPr="00000000" w14:paraId="00000080">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Teach live lesson (either full lesson or using synchronous suggestions)</w:t>
            </w:r>
          </w:p>
          <w:p w:rsidR="00000000" w:rsidDel="00000000" w:rsidP="00000000" w:rsidRDefault="00000000" w:rsidRPr="00000000" w14:paraId="00000081">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Assign video</w:t>
            </w:r>
          </w:p>
          <w:p w:rsidR="00000000" w:rsidDel="00000000" w:rsidP="00000000" w:rsidRDefault="00000000" w:rsidRPr="00000000" w14:paraId="00000082">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Preview</w:t>
            </w:r>
          </w:p>
          <w:p w:rsidR="00000000" w:rsidDel="00000000" w:rsidP="00000000" w:rsidRDefault="00000000" w:rsidRPr="00000000" w14:paraId="00000083">
            <w:pPr>
              <w:widowControl w:val="0"/>
              <w:numPr>
                <w:ilvl w:val="0"/>
                <w:numId w:val="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Review</w:t>
            </w:r>
          </w:p>
          <w:p w:rsidR="00000000" w:rsidDel="00000000" w:rsidP="00000000" w:rsidRDefault="00000000" w:rsidRPr="00000000" w14:paraId="00000084">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Notes:</w:t>
            </w:r>
          </w:p>
        </w:tc>
      </w:tr>
      <w:tr>
        <w:trPr>
          <w:trHeight w:val="2295"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Use this row to make notes about student work, including what students will work on, timing, how they will submit work, and how you will respond or provide feedback.</w:t>
            </w:r>
          </w:p>
        </w:tc>
      </w:tr>
    </w:tbl>
    <w:p w:rsidR="00000000" w:rsidDel="00000000" w:rsidP="00000000" w:rsidRDefault="00000000" w:rsidRPr="00000000" w14:paraId="0000008B">
      <w:pPr>
        <w:rPr>
          <w:rFonts w:ascii="Open Sans" w:cs="Open Sans" w:eastAsia="Open Sans" w:hAnsi="Open Sans"/>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b w:val="1"/>
        </w:rPr>
      </w:pPr>
      <w:r w:rsidDel="00000000" w:rsidR="00000000" w:rsidRPr="00000000">
        <w:rPr>
          <w:rFonts w:ascii="Open Sans" w:cs="Open Sans" w:eastAsia="Open Sans" w:hAnsi="Open Sans"/>
          <w:b w:val="1"/>
          <w:rtl w:val="0"/>
        </w:rPr>
        <w:t xml:space="preserve">Suggestions for Synchronous Time</w:t>
      </w:r>
    </w:p>
    <w:tbl>
      <w:tblPr>
        <w:tblStyle w:val="Table4"/>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In-person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Online class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Discourse routines</w:t>
            </w:r>
          </w:p>
          <w:p w:rsidR="00000000" w:rsidDel="00000000" w:rsidP="00000000" w:rsidRDefault="00000000" w:rsidRPr="00000000" w14:paraId="00000090">
            <w:pPr>
              <w:widowControl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Class discussions</w:t>
            </w:r>
          </w:p>
          <w:p w:rsidR="00000000" w:rsidDel="00000000" w:rsidP="00000000" w:rsidRDefault="00000000" w:rsidRPr="00000000" w14:paraId="00000091">
            <w:pPr>
              <w:widowControl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Hands-on investigations (option for teacher demo)</w:t>
            </w:r>
          </w:p>
          <w:p w:rsidR="00000000" w:rsidDel="00000000" w:rsidP="00000000" w:rsidRDefault="00000000" w:rsidRPr="00000000" w14:paraId="00000092">
            <w:pPr>
              <w:widowControl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Physical modeling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Online discussions</w:t>
            </w:r>
          </w:p>
          <w:p w:rsidR="00000000" w:rsidDel="00000000" w:rsidP="00000000" w:rsidRDefault="00000000" w:rsidRPr="00000000" w14:paraId="00000094">
            <w:pPr>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Sim demonstrations</w:t>
            </w:r>
          </w:p>
          <w:p w:rsidR="00000000" w:rsidDel="00000000" w:rsidP="00000000" w:rsidRDefault="00000000" w:rsidRPr="00000000" w14:paraId="00000095">
            <w:pPr>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Interactive read-alouds</w:t>
            </w:r>
          </w:p>
          <w:p w:rsidR="00000000" w:rsidDel="00000000" w:rsidP="00000000" w:rsidRDefault="00000000" w:rsidRPr="00000000" w14:paraId="00000096">
            <w:pPr>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Shared Writing</w:t>
            </w:r>
          </w:p>
          <w:p w:rsidR="00000000" w:rsidDel="00000000" w:rsidP="00000000" w:rsidRDefault="00000000" w:rsidRPr="00000000" w14:paraId="00000097">
            <w:pPr>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Co-constructed class charts</w:t>
              <w:tab/>
              <w:tab/>
              <w:tab/>
              <w:tab/>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Preview</w:t>
            </w:r>
            <w:r w:rsidDel="00000000" w:rsidR="00000000" w:rsidRPr="00000000">
              <w:rPr>
                <w:rFonts w:ascii="Open Sans" w:cs="Open Sans" w:eastAsia="Open Sans" w:hAnsi="Open Sans"/>
                <w:rtl w:val="0"/>
              </w:rPr>
              <w:t xml:space="preserve">: Go over what students will experience/do in upcoming asynchronous lessons so they are prepared.</w:t>
            </w:r>
          </w:p>
          <w:p w:rsidR="00000000" w:rsidDel="00000000" w:rsidP="00000000" w:rsidRDefault="00000000" w:rsidRPr="00000000" w14:paraId="00000099">
            <w:pPr>
              <w:widowControl w:val="0"/>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Review</w:t>
            </w:r>
            <w:r w:rsidDel="00000000" w:rsidR="00000000" w:rsidRPr="00000000">
              <w:rPr>
                <w:rFonts w:ascii="Open Sans" w:cs="Open Sans" w:eastAsia="Open Sans" w:hAnsi="Open Sans"/>
                <w:rtl w:val="0"/>
              </w:rPr>
              <w:t xml:space="preserve">: Revisit activities from previous asynchronous lessons including, digital tools, books/articles, hands-on investigations, etc.</w:t>
            </w:r>
          </w:p>
        </w:tc>
      </w:tr>
    </w:tbl>
    <w:p w:rsidR="00000000" w:rsidDel="00000000" w:rsidP="00000000" w:rsidRDefault="00000000" w:rsidRPr="00000000" w14:paraId="0000009B">
      <w:pPr>
        <w:rPr>
          <w:rFonts w:ascii="Open Sans" w:cs="Open Sans" w:eastAsia="Open Sans" w:hAnsi="Open Sans"/>
        </w:rPr>
      </w:pPr>
      <w:r w:rsidDel="00000000" w:rsidR="00000000" w:rsidRPr="00000000">
        <w:rPr>
          <w:rtl w:val="0"/>
        </w:rPr>
      </w:r>
    </w:p>
    <w:sectPr>
      <w:pgSz w:h="12240" w:w="158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