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E1BA9" w:rsidRDefault="0022397E">
      <w:pPr>
        <w:spacing w:after="60"/>
        <w:jc w:val="center"/>
        <w:rPr>
          <w:rFonts w:ascii="Helvetica Neue" w:eastAsia="Helvetica Neue" w:hAnsi="Helvetica Neue" w:cs="Helvetica Neue"/>
          <w:color w:val="434343"/>
          <w:sz w:val="52"/>
          <w:szCs w:val="52"/>
        </w:rPr>
      </w:pPr>
      <w:r>
        <w:rPr>
          <w:rFonts w:ascii="Helvetica Neue" w:eastAsia="Helvetica Neue" w:hAnsi="Helvetica Neue" w:cs="Helvetica Neue"/>
          <w:color w:val="434343"/>
          <w:sz w:val="52"/>
          <w:szCs w:val="52"/>
        </w:rPr>
        <w:t>Amplify Science: Year 1</w:t>
      </w:r>
    </w:p>
    <w:p w14:paraId="00000002" w14:textId="77777777" w:rsidR="00FE1BA9" w:rsidRDefault="0022397E">
      <w:pPr>
        <w:spacing w:after="60"/>
        <w:jc w:val="center"/>
        <w:rPr>
          <w:rFonts w:ascii="Helvetica Neue" w:eastAsia="Helvetica Neue" w:hAnsi="Helvetica Neue" w:cs="Helvetica Neue"/>
          <w:color w:val="434343"/>
          <w:sz w:val="52"/>
          <w:szCs w:val="52"/>
        </w:rPr>
      </w:pPr>
      <w:r>
        <w:rPr>
          <w:rFonts w:ascii="Helvetica Neue" w:eastAsia="Helvetica Neue" w:hAnsi="Helvetica Neue" w:cs="Helvetica Neue"/>
          <w:color w:val="434343"/>
          <w:sz w:val="36"/>
          <w:szCs w:val="36"/>
        </w:rPr>
        <w:t xml:space="preserve">Fayette County </w:t>
      </w:r>
      <w:r>
        <w:rPr>
          <w:rFonts w:ascii="Helvetica Neue" w:eastAsia="Helvetica Neue" w:hAnsi="Helvetica Neue" w:cs="Helvetica Neue"/>
          <w:color w:val="434343"/>
          <w:sz w:val="52"/>
          <w:szCs w:val="52"/>
        </w:rPr>
        <w:t xml:space="preserve"> </w:t>
      </w:r>
    </w:p>
    <w:p w14:paraId="00000003" w14:textId="77777777" w:rsidR="00FE1BA9" w:rsidRDefault="0022397E">
      <w:pPr>
        <w:spacing w:after="60"/>
        <w:jc w:val="center"/>
        <w:rPr>
          <w:rFonts w:ascii="Helvetica Neue" w:eastAsia="Helvetica Neue" w:hAnsi="Helvetica Neue" w:cs="Helvetica Neue"/>
          <w:color w:val="434343"/>
          <w:sz w:val="28"/>
          <w:szCs w:val="28"/>
        </w:rPr>
      </w:pPr>
      <w:r>
        <w:rPr>
          <w:rFonts w:ascii="Helvetica Neue" w:eastAsia="Helvetica Neue" w:hAnsi="Helvetica Neue" w:cs="Helvetica Neue"/>
          <w:color w:val="434343"/>
          <w:sz w:val="28"/>
          <w:szCs w:val="28"/>
        </w:rPr>
        <w:t xml:space="preserve">Phases of Implementation, Services and Progress Monitoring Approach </w:t>
      </w:r>
    </w:p>
    <w:p w14:paraId="00000004" w14:textId="77777777" w:rsidR="00FE1BA9" w:rsidRDefault="00FE1BA9">
      <w:pPr>
        <w:rPr>
          <w:rFonts w:ascii="Helvetica Neue" w:eastAsia="Helvetica Neue" w:hAnsi="Helvetica Neue" w:cs="Helvetica Neue"/>
          <w:color w:val="434343"/>
        </w:rPr>
      </w:pPr>
    </w:p>
    <w:p w14:paraId="00000005" w14:textId="77777777" w:rsidR="00FE1BA9" w:rsidRDefault="0022397E">
      <w:pPr>
        <w:rPr>
          <w:rFonts w:ascii="Helvetica Neue" w:eastAsia="Helvetica Neue" w:hAnsi="Helvetica Neue" w:cs="Helvetica Neue"/>
          <w:color w:val="434343"/>
        </w:rPr>
      </w:pPr>
      <w:r>
        <w:rPr>
          <w:rFonts w:ascii="Helvetica Neue" w:eastAsia="Helvetica Neue" w:hAnsi="Helvetica Neue" w:cs="Helvetica Neue"/>
          <w:color w:val="434343"/>
          <w:sz w:val="22"/>
          <w:szCs w:val="22"/>
        </w:rPr>
        <w:t>The Amplify Science Look-for tool is one way to check-in on the health of an Amplify Science implementation for Year 1. Use the Look-for tool to celebrate success and to identify where to provide additional support.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FE1BA9" w14:paraId="47863F13" w14:textId="77777777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FE1BA9" w:rsidRDefault="0022397E">
            <w:pPr>
              <w:rPr>
                <w:rFonts w:ascii="Helvetica Neue" w:eastAsia="Helvetica Neue" w:hAnsi="Helvetica Neue" w:cs="Helvetica Neue"/>
                <w:b/>
                <w:color w:val="434343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434343"/>
                <w:sz w:val="22"/>
                <w:szCs w:val="22"/>
              </w:rPr>
              <w:t>Phase I</w:t>
            </w:r>
          </w:p>
          <w:p w14:paraId="00000007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 xml:space="preserve">Students use the classroom wall </w:t>
            </w:r>
            <w:r>
              <w:rPr>
                <w:rFonts w:ascii="Helvetica Neue" w:eastAsia="Helvetica Neue" w:hAnsi="Helvetica Neue" w:cs="Helvetica Neue"/>
                <w:color w:val="434343"/>
              </w:rPr>
              <w:t>to make connections to the lesson activities.</w:t>
            </w:r>
          </w:p>
          <w:p w14:paraId="00000008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have routines to access kit materials, digital tools and/or manipulatives. </w:t>
            </w:r>
          </w:p>
          <w:p w14:paraId="00000009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use of Investigation Notebooks/ Science Journals show consistent engagement in lesson activities. </w:t>
            </w:r>
          </w:p>
          <w:p w14:paraId="0000000A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Teacher navigates</w:t>
            </w:r>
            <w:r>
              <w:rPr>
                <w:rFonts w:ascii="Helvetica Neue" w:eastAsia="Helvetica Neue" w:hAnsi="Helvetica Neue" w:cs="Helvetica Neue"/>
                <w:color w:val="434343"/>
              </w:rPr>
              <w:t xml:space="preserve"> the online application and projects digital resources. </w:t>
            </w:r>
          </w:p>
          <w:p w14:paraId="0000000B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 xml:space="preserve">Administrators visiting classrooms providing feedback on Phase I look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</w:rPr>
              <w:t>fors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</w:rPr>
              <w:t xml:space="preserve"> </w:t>
            </w:r>
          </w:p>
          <w:p w14:paraId="0000000C" w14:textId="77777777" w:rsidR="00FE1BA9" w:rsidRDefault="00FE1BA9">
            <w:pPr>
              <w:ind w:left="720"/>
              <w:rPr>
                <w:rFonts w:ascii="Helvetica Neue" w:eastAsia="Helvetica Neue" w:hAnsi="Helvetica Neue" w:cs="Helvetica Neue"/>
                <w:color w:val="434343"/>
              </w:rPr>
            </w:pPr>
          </w:p>
          <w:p w14:paraId="0000000D" w14:textId="77777777" w:rsidR="00FE1BA9" w:rsidRDefault="0022397E">
            <w:pPr>
              <w:rPr>
                <w:rFonts w:ascii="Helvetica Neue" w:eastAsia="Helvetica Neue" w:hAnsi="Helvetica Neue" w:cs="Helvetica Neue"/>
                <w:b/>
                <w:color w:val="434343"/>
              </w:rPr>
            </w:pPr>
            <w:r>
              <w:rPr>
                <w:rFonts w:ascii="Helvetica Neue" w:eastAsia="Helvetica Neue" w:hAnsi="Helvetica Neue" w:cs="Helvetica Neue"/>
                <w:b/>
                <w:color w:val="434343"/>
              </w:rPr>
              <w:t>Phase II</w:t>
            </w:r>
          </w:p>
          <w:p w14:paraId="0000000E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are figuring out the unit phenomena. </w:t>
            </w:r>
          </w:p>
          <w:p w14:paraId="0000000F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are engaged in the active reading routines. </w:t>
            </w:r>
          </w:p>
          <w:p w14:paraId="00000010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Teacher engages students in academic discourse about the unit phenomena. </w:t>
            </w:r>
          </w:p>
          <w:p w14:paraId="00000011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Teacher deliberately applies multimodal instructional strategies</w:t>
            </w:r>
          </w:p>
          <w:p w14:paraId="00000012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 xml:space="preserve">Administrators visiting classrooms providing feedback on Phase </w:t>
            </w:r>
            <w:r>
              <w:rPr>
                <w:rFonts w:ascii="Helvetica Neue" w:eastAsia="Helvetica Neue" w:hAnsi="Helvetica Neue" w:cs="Helvetica Neue"/>
                <w:color w:val="434343"/>
              </w:rPr>
              <w:t xml:space="preserve">I-II look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</w:rPr>
              <w:t>fors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</w:rPr>
              <w:t xml:space="preserve"> </w:t>
            </w:r>
          </w:p>
          <w:p w14:paraId="00000013" w14:textId="77777777" w:rsidR="00FE1BA9" w:rsidRDefault="00FE1BA9">
            <w:pPr>
              <w:rPr>
                <w:rFonts w:ascii="Helvetica Neue" w:eastAsia="Helvetica Neue" w:hAnsi="Helvetica Neue" w:cs="Helvetica Neue"/>
                <w:color w:val="434343"/>
              </w:rPr>
            </w:pPr>
          </w:p>
          <w:p w14:paraId="00000014" w14:textId="77777777" w:rsidR="00FE1BA9" w:rsidRDefault="0022397E">
            <w:pPr>
              <w:rPr>
                <w:rFonts w:ascii="Helvetica Neue" w:eastAsia="Helvetica Neue" w:hAnsi="Helvetica Neue" w:cs="Helvetica Neue"/>
                <w:b/>
                <w:color w:val="434343"/>
              </w:rPr>
            </w:pPr>
            <w:r>
              <w:rPr>
                <w:rFonts w:ascii="Helvetica Neue" w:eastAsia="Helvetica Neue" w:hAnsi="Helvetica Neue" w:cs="Helvetica Neue"/>
                <w:b/>
                <w:color w:val="434343"/>
              </w:rPr>
              <w:t>Phase III</w:t>
            </w:r>
          </w:p>
          <w:p w14:paraId="00000015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build on the ideas of their peers.</w:t>
            </w:r>
          </w:p>
          <w:p w14:paraId="00000016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support claims with evidence. </w:t>
            </w:r>
          </w:p>
          <w:p w14:paraId="00000017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Students engage in academic discourse and respectfully challenge the reasoning of their peers.</w:t>
            </w:r>
          </w:p>
          <w:p w14:paraId="00000018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>Teacher facilitating assessments and using data to plan.</w:t>
            </w:r>
          </w:p>
          <w:p w14:paraId="00000019" w14:textId="77777777" w:rsidR="00FE1BA9" w:rsidRDefault="0022397E">
            <w:pPr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color w:val="434343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434343"/>
              </w:rPr>
              <w:t xml:space="preserve">Administrators visiting classrooms providing feedback on Phase I-III look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</w:rPr>
              <w:t>fors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2"/>
                <w:szCs w:val="22"/>
              </w:rPr>
              <w:t xml:space="preserve"> </w:t>
            </w:r>
          </w:p>
        </w:tc>
      </w:tr>
    </w:tbl>
    <w:p w14:paraId="0000001A" w14:textId="77777777" w:rsidR="00FE1BA9" w:rsidRDefault="00FE1BA9">
      <w:pPr>
        <w:rPr>
          <w:rFonts w:ascii="Helvetica Neue" w:eastAsia="Helvetica Neue" w:hAnsi="Helvetica Neue" w:cs="Helvetica Neue"/>
          <w:color w:val="434343"/>
        </w:rPr>
      </w:pPr>
    </w:p>
    <w:p w14:paraId="0000001B" w14:textId="3233C063" w:rsidR="00FE1BA9" w:rsidRDefault="0022397E">
      <w:pPr>
        <w:rPr>
          <w:rFonts w:ascii="Helvetica Neue" w:eastAsia="Helvetica Neue" w:hAnsi="Helvetica Neue" w:cs="Helvetica Neue"/>
          <w:color w:val="434343"/>
        </w:rPr>
      </w:pPr>
      <w:r>
        <w:rPr>
          <w:rFonts w:ascii="Helvetica Neue" w:eastAsia="Helvetica Neue" w:hAnsi="Helvetica Neue" w:cs="Helvetica Neue"/>
          <w:color w:val="434343"/>
          <w:sz w:val="22"/>
          <w:szCs w:val="22"/>
        </w:rPr>
        <w:t xml:space="preserve">List evidence of </w:t>
      </w:r>
      <w:r>
        <w:rPr>
          <w:rFonts w:ascii="Helvetica Neue" w:eastAsia="Helvetica Neue" w:hAnsi="Helvetica Neue" w:cs="Helvetica Neue"/>
          <w:color w:val="434343"/>
          <w:sz w:val="22"/>
          <w:szCs w:val="22"/>
        </w:rPr>
        <w:t>successful implementation: </w:t>
      </w:r>
    </w:p>
    <w:tbl>
      <w:tblPr>
        <w:tblStyle w:val="a0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FE1BA9" w14:paraId="042E9EA9" w14:textId="77777777" w:rsidTr="00EB189C">
        <w:trPr>
          <w:trHeight w:val="78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FE1BA9" w:rsidRDefault="00FE1BA9">
            <w:pPr>
              <w:rPr>
                <w:rFonts w:ascii="Helvetica Neue" w:eastAsia="Helvetica Neue" w:hAnsi="Helvetica Neue" w:cs="Helvetica Neue"/>
                <w:color w:val="434343"/>
              </w:rPr>
            </w:pPr>
          </w:p>
        </w:tc>
      </w:tr>
    </w:tbl>
    <w:p w14:paraId="0000001D" w14:textId="77777777" w:rsidR="00FE1BA9" w:rsidRDefault="00FE1BA9">
      <w:pPr>
        <w:rPr>
          <w:rFonts w:ascii="Helvetica Neue" w:eastAsia="Helvetica Neue" w:hAnsi="Helvetica Neue" w:cs="Helvetica Neue"/>
          <w:color w:val="434343"/>
        </w:rPr>
      </w:pPr>
    </w:p>
    <w:tbl>
      <w:tblPr>
        <w:tblStyle w:val="a1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FE1BA9" w14:paraId="0B897C4F" w14:textId="77777777" w:rsidTr="0022397E">
        <w:trPr>
          <w:trHeight w:val="1077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507CD0CF" w:rsidR="00FE1BA9" w:rsidRDefault="0022397E">
            <w:pPr>
              <w:rPr>
                <w:rFonts w:ascii="Helvetica Neue" w:eastAsia="Helvetica Neue" w:hAnsi="Helvetica Neue" w:cs="Helvetica Neue"/>
                <w:color w:val="434343"/>
              </w:rPr>
            </w:pPr>
            <w:r>
              <w:rPr>
                <w:rFonts w:ascii="Helvetica Neue" w:eastAsia="Helvetica Neue" w:hAnsi="Helvetica Neue" w:cs="Helvetica Neue"/>
                <w:color w:val="434343"/>
                <w:sz w:val="22"/>
                <w:szCs w:val="22"/>
              </w:rPr>
              <w:t>Shining moments or other recommendations</w:t>
            </w:r>
          </w:p>
        </w:tc>
      </w:tr>
    </w:tbl>
    <w:p w14:paraId="00000048" w14:textId="77777777" w:rsidR="00FE1BA9" w:rsidRDefault="00FE1BA9" w:rsidP="0022397E">
      <w:pPr>
        <w:rPr>
          <w:rFonts w:ascii="Helvetica Neue" w:eastAsia="Helvetica Neue" w:hAnsi="Helvetica Neue" w:cs="Helvetica Neue"/>
        </w:rPr>
      </w:pPr>
      <w:bookmarkStart w:id="0" w:name="_GoBack"/>
      <w:bookmarkEnd w:id="0"/>
    </w:p>
    <w:sectPr w:rsidR="00FE1BA9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0C5E"/>
    <w:multiLevelType w:val="multilevel"/>
    <w:tmpl w:val="2478729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8655D4B"/>
    <w:multiLevelType w:val="multilevel"/>
    <w:tmpl w:val="AEAC9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A9"/>
    <w:rsid w:val="0022397E"/>
    <w:rsid w:val="00EB189C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2E6F"/>
  <w15:docId w15:val="{9B96426C-6684-42FD-88AB-64DDB8B6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755D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55D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Or0TesJ+lTG/hUFqB58LqlszccQ==">AMUW2mWfr7DbtDR3m9m3ghV7gOKIRdN/cKtKpQ3bePH+/xZetsl4Ue1SHlKqEtZz/JlNAAbOIxc9lkSr0F0bhG1TARtKSHKlgCRiLAkPoiofl/RScU3R/8g=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Patti Works</cp:lastModifiedBy>
  <cp:revision>2</cp:revision>
  <dcterms:created xsi:type="dcterms:W3CDTF">2019-09-08T15:39:00Z</dcterms:created>
  <dcterms:modified xsi:type="dcterms:W3CDTF">2019-09-08T15:39:00Z</dcterms:modified>
</cp:coreProperties>
</file>